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047" w:type="dxa"/>
        <w:tblInd w:w="8" w:type="dxa"/>
        <w:tblLayout w:type="fixed"/>
        <w:tblCellMar>
          <w:left w:w="0" w:type="dxa"/>
          <w:right w:w="0" w:type="dxa"/>
        </w:tblCellMar>
        <w:tblLook w:val="0000" w:firstRow="0" w:lastRow="0" w:firstColumn="0" w:lastColumn="0" w:noHBand="0" w:noVBand="0"/>
      </w:tblPr>
      <w:tblGrid>
        <w:gridCol w:w="7047"/>
      </w:tblGrid>
      <w:tr w:rsidR="003F1867" w14:paraId="69086D48" w14:textId="77777777" w:rsidTr="002D0CD7">
        <w:trPr>
          <w:cantSplit/>
          <w:trHeight w:hRule="exact" w:val="2127"/>
        </w:trPr>
        <w:tc>
          <w:tcPr>
            <w:tcW w:w="7047" w:type="dxa"/>
          </w:tcPr>
          <w:p w14:paraId="78477961" w14:textId="78C592D9" w:rsidR="003F1867" w:rsidRDefault="003F1867">
            <w:pPr>
              <w:pStyle w:val="Brdtekst"/>
            </w:pPr>
          </w:p>
        </w:tc>
      </w:tr>
    </w:tbl>
    <w:p w14:paraId="0355447E" w14:textId="77777777" w:rsidR="00076E62" w:rsidRDefault="00076E62" w:rsidP="003254FC">
      <w:pPr>
        <w:pStyle w:val="Brdtekst"/>
        <w:jc w:val="both"/>
        <w:rPr>
          <w:b/>
          <w:bCs/>
        </w:rPr>
      </w:pPr>
      <w:bookmarkStart w:id="0" w:name="PCAoverskrift"/>
      <w:bookmarkEnd w:id="0"/>
    </w:p>
    <w:p w14:paraId="7931475F" w14:textId="52783922" w:rsidR="003F1867" w:rsidRPr="00337FE8" w:rsidRDefault="00337FE8" w:rsidP="003254FC">
      <w:pPr>
        <w:pStyle w:val="Brdtekst"/>
        <w:jc w:val="both"/>
        <w:rPr>
          <w:b/>
          <w:bCs/>
        </w:rPr>
      </w:pPr>
      <w:bookmarkStart w:id="1" w:name="_Hlk46407391"/>
      <w:r w:rsidRPr="00337FE8">
        <w:rPr>
          <w:b/>
          <w:bCs/>
        </w:rPr>
        <w:t xml:space="preserve">Kompensation for faste omkostninger ved ændring i </w:t>
      </w:r>
      <w:r w:rsidR="00DC2FD4">
        <w:rPr>
          <w:b/>
          <w:bCs/>
        </w:rPr>
        <w:t>virksomhedens</w:t>
      </w:r>
      <w:r w:rsidRPr="00337FE8">
        <w:rPr>
          <w:b/>
          <w:bCs/>
        </w:rPr>
        <w:t xml:space="preserve"> forhold som følge af omstruktureringer, køb</w:t>
      </w:r>
      <w:r w:rsidR="00352C19">
        <w:rPr>
          <w:b/>
          <w:bCs/>
        </w:rPr>
        <w:t xml:space="preserve"> eller </w:t>
      </w:r>
      <w:r w:rsidRPr="00337FE8">
        <w:rPr>
          <w:b/>
          <w:bCs/>
        </w:rPr>
        <w:t xml:space="preserve">salg af </w:t>
      </w:r>
      <w:r w:rsidR="00DC2FD4">
        <w:rPr>
          <w:b/>
          <w:bCs/>
        </w:rPr>
        <w:t>aktiviteter</w:t>
      </w:r>
      <w:r w:rsidRPr="00337FE8">
        <w:rPr>
          <w:b/>
          <w:bCs/>
        </w:rPr>
        <w:t xml:space="preserve"> m.v.</w:t>
      </w:r>
    </w:p>
    <w:bookmarkEnd w:id="1"/>
    <w:p w14:paraId="728C1128" w14:textId="77777777" w:rsidR="00337FE8" w:rsidRDefault="00337FE8" w:rsidP="003254FC">
      <w:pPr>
        <w:pStyle w:val="Brdtekst"/>
        <w:jc w:val="both"/>
      </w:pPr>
    </w:p>
    <w:p w14:paraId="027B0FDD" w14:textId="6043B48D" w:rsidR="00352C19" w:rsidRDefault="008B7FA8" w:rsidP="003254FC">
      <w:pPr>
        <w:pStyle w:val="Brdtekst"/>
        <w:jc w:val="both"/>
      </w:pPr>
      <w:r w:rsidRPr="00F64B65">
        <w:t>Kompensationsordningen for faste omkostninger</w:t>
      </w:r>
      <w:r w:rsidR="0099497B" w:rsidRPr="00F64B65">
        <w:t xml:space="preserve"> har retsgrundlag i </w:t>
      </w:r>
      <w:r w:rsidR="007C57E4">
        <w:t>b</w:t>
      </w:r>
      <w:r w:rsidR="0099497B" w:rsidRPr="00F64B65">
        <w:t xml:space="preserve">ekendtgørelse </w:t>
      </w:r>
      <w:r w:rsidR="007C57E4">
        <w:t xml:space="preserve">nr. 574 af 5. maj 2020 </w:t>
      </w:r>
      <w:r w:rsidR="0099497B" w:rsidRPr="00F64B65">
        <w:t>om kompensation for faste omkostninger til virksomheder i økonomisk krise som følge af COVID-19</w:t>
      </w:r>
      <w:r w:rsidR="00F63EFE">
        <w:t xml:space="preserve"> med senere ændringer</w:t>
      </w:r>
      <w:r w:rsidR="000129D4">
        <w:t>.</w:t>
      </w:r>
      <w:r w:rsidR="006B02B5">
        <w:rPr>
          <w:rStyle w:val="Fodnotehenvisning"/>
        </w:rPr>
        <w:footnoteReference w:id="1"/>
      </w:r>
    </w:p>
    <w:p w14:paraId="21A13030" w14:textId="1ABD0E5D" w:rsidR="00547D94" w:rsidRDefault="00547D94" w:rsidP="003254FC">
      <w:pPr>
        <w:pStyle w:val="Brdtekst"/>
        <w:jc w:val="both"/>
      </w:pPr>
    </w:p>
    <w:p w14:paraId="61DCD67B" w14:textId="6E5364EA" w:rsidR="00547D94" w:rsidRDefault="008A57E0" w:rsidP="003254FC">
      <w:pPr>
        <w:pStyle w:val="Brdtekst"/>
        <w:jc w:val="both"/>
      </w:pPr>
      <w:r>
        <w:t xml:space="preserve">Ordningen er derudover statsstøttegodkendt, jf. Kommissionens afgørelse om godkendelse af statsstøtte af </w:t>
      </w:r>
      <w:r w:rsidR="00EC765F">
        <w:t>8. april 2020.</w:t>
      </w:r>
      <w:r w:rsidR="00EC765F">
        <w:rPr>
          <w:rStyle w:val="Fodnotehenvisning"/>
        </w:rPr>
        <w:footnoteReference w:id="2"/>
      </w:r>
      <w:r w:rsidR="00EC765F">
        <w:t xml:space="preserve"> </w:t>
      </w:r>
      <w:r w:rsidR="001B5451">
        <w:t xml:space="preserve">Bekendtgørelsen skal derfor fortolkes og anvendes inden for rammerne af Kommissionens afgørelse. </w:t>
      </w:r>
    </w:p>
    <w:p w14:paraId="461C4D27" w14:textId="77777777" w:rsidR="000129D4" w:rsidRDefault="000129D4" w:rsidP="003254FC">
      <w:pPr>
        <w:pStyle w:val="Brdtekst"/>
        <w:jc w:val="both"/>
      </w:pPr>
    </w:p>
    <w:p w14:paraId="46C8B008" w14:textId="2D38A1EA" w:rsidR="00503AC2" w:rsidRDefault="000129D4" w:rsidP="003254FC">
      <w:pPr>
        <w:pStyle w:val="Brdtekst"/>
        <w:jc w:val="both"/>
      </w:pPr>
      <w:r>
        <w:t xml:space="preserve">Reglerne for ordningen er udspecificeret </w:t>
      </w:r>
      <w:r w:rsidR="00360AF1">
        <w:t xml:space="preserve">på Virksomhedsguiden.dk, hvor der </w:t>
      </w:r>
      <w:r w:rsidR="001F23CE">
        <w:t xml:space="preserve">bl.a. er </w:t>
      </w:r>
      <w:r w:rsidR="00422D09">
        <w:t xml:space="preserve">en </w:t>
      </w:r>
      <w:r w:rsidR="001F23CE">
        <w:t xml:space="preserve">vejledning </w:t>
      </w:r>
      <w:r w:rsidR="00422D09">
        <w:t>om ansøgning, retningslinjer for revisorerklæring</w:t>
      </w:r>
      <w:r w:rsidR="00503AC2">
        <w:t xml:space="preserve">, skabelon for revisorerklæring, </w:t>
      </w:r>
      <w:r w:rsidR="000A44F7">
        <w:t xml:space="preserve">vejledning om dokumentation, </w:t>
      </w:r>
      <w:r w:rsidR="00503AC2">
        <w:t>en lang række spørgsmål og svar om ordningen</w:t>
      </w:r>
      <w:r w:rsidR="00422D09">
        <w:t xml:space="preserve"> </w:t>
      </w:r>
      <w:r w:rsidR="00503AC2">
        <w:t>samt henvisninger til ansøgningsmodulet på Virk.dk.</w:t>
      </w:r>
    </w:p>
    <w:p w14:paraId="1C15EBBD" w14:textId="77777777" w:rsidR="00503AC2" w:rsidRDefault="00503AC2" w:rsidP="003254FC">
      <w:pPr>
        <w:pStyle w:val="Brdtekst"/>
        <w:jc w:val="both"/>
      </w:pPr>
    </w:p>
    <w:p w14:paraId="10017A6B" w14:textId="77777777" w:rsidR="000129D4" w:rsidRPr="00F64B65" w:rsidRDefault="00503AC2" w:rsidP="003254FC">
      <w:pPr>
        <w:pStyle w:val="Brdtekst"/>
        <w:jc w:val="both"/>
      </w:pPr>
      <w:r>
        <w:t>Dette notat beskriver</w:t>
      </w:r>
      <w:r w:rsidR="00452399">
        <w:t xml:space="preserve">, hvordan ændringer i virksomhedens forhold </w:t>
      </w:r>
      <w:r w:rsidR="004A2BB7">
        <w:t xml:space="preserve">som følge af omstruktureringer samt køb eller salg af aktiviteter m.v. håndteres under kompensationsordningen for faste omkostninger. </w:t>
      </w:r>
    </w:p>
    <w:p w14:paraId="23C21CA9" w14:textId="77777777" w:rsidR="00352C19" w:rsidRDefault="00352C19" w:rsidP="003254FC">
      <w:pPr>
        <w:pStyle w:val="Brdtekst"/>
        <w:jc w:val="both"/>
      </w:pPr>
    </w:p>
    <w:p w14:paraId="68D2454D" w14:textId="77777777" w:rsidR="009C2F72" w:rsidRDefault="009C2F72" w:rsidP="003254FC">
      <w:pPr>
        <w:pStyle w:val="Brdtekst"/>
        <w:jc w:val="both"/>
      </w:pPr>
      <w:r>
        <w:t>Notatet beskriver:</w:t>
      </w:r>
    </w:p>
    <w:p w14:paraId="65B986DE" w14:textId="77777777" w:rsidR="009C2F72" w:rsidRDefault="009C2F72" w:rsidP="009C2F72">
      <w:pPr>
        <w:pStyle w:val="Brdtekst"/>
        <w:numPr>
          <w:ilvl w:val="0"/>
          <w:numId w:val="6"/>
        </w:numPr>
        <w:jc w:val="both"/>
      </w:pPr>
      <w:r>
        <w:t>Overordnede principper</w:t>
      </w:r>
    </w:p>
    <w:p w14:paraId="58568487" w14:textId="77777777" w:rsidR="00F64B65" w:rsidRDefault="00F64B65" w:rsidP="00F64B65">
      <w:pPr>
        <w:pStyle w:val="Brdtekst"/>
        <w:numPr>
          <w:ilvl w:val="0"/>
          <w:numId w:val="6"/>
        </w:numPr>
        <w:jc w:val="both"/>
      </w:pPr>
      <w:r>
        <w:t>Oversigt over samspil mellem overordnede principper</w:t>
      </w:r>
    </w:p>
    <w:p w14:paraId="0A271C71" w14:textId="77777777" w:rsidR="00F64B65" w:rsidRPr="00F64B65" w:rsidRDefault="00F64B65" w:rsidP="00F64B65">
      <w:pPr>
        <w:pStyle w:val="Brdtekst"/>
        <w:numPr>
          <w:ilvl w:val="0"/>
          <w:numId w:val="6"/>
        </w:numPr>
        <w:jc w:val="both"/>
      </w:pPr>
      <w:r>
        <w:t>Dokumentationsmæssige forhold</w:t>
      </w:r>
    </w:p>
    <w:p w14:paraId="197AD606" w14:textId="77777777" w:rsidR="00352C19" w:rsidRDefault="00352C19" w:rsidP="003254FC">
      <w:pPr>
        <w:pStyle w:val="Brdtekst"/>
        <w:jc w:val="both"/>
        <w:rPr>
          <w:b/>
          <w:bCs/>
        </w:rPr>
      </w:pPr>
    </w:p>
    <w:p w14:paraId="187155C9" w14:textId="541A4A4E" w:rsidR="00A02163" w:rsidRDefault="00DA03C2" w:rsidP="003254FC">
      <w:pPr>
        <w:pStyle w:val="Brdtekst"/>
        <w:jc w:val="both"/>
        <w:rPr>
          <w:b/>
          <w:bCs/>
        </w:rPr>
      </w:pPr>
      <w:r>
        <w:rPr>
          <w:b/>
          <w:bCs/>
        </w:rPr>
        <w:t xml:space="preserve">1. </w:t>
      </w:r>
      <w:r w:rsidR="00A531F6">
        <w:rPr>
          <w:b/>
          <w:bCs/>
        </w:rPr>
        <w:t>Bes</w:t>
      </w:r>
      <w:r w:rsidR="00C611A5">
        <w:rPr>
          <w:b/>
          <w:bCs/>
        </w:rPr>
        <w:t>kr</w:t>
      </w:r>
      <w:r w:rsidR="00A531F6">
        <w:rPr>
          <w:b/>
          <w:bCs/>
        </w:rPr>
        <w:t>ivelse af de o</w:t>
      </w:r>
      <w:r w:rsidR="00A02163">
        <w:rPr>
          <w:b/>
          <w:bCs/>
        </w:rPr>
        <w:t>verordnede principper</w:t>
      </w:r>
      <w:r w:rsidR="00A531F6">
        <w:rPr>
          <w:b/>
          <w:bCs/>
        </w:rPr>
        <w:t>, der anvendes ved ændringer i den støtteberettigede virksomheds forhold</w:t>
      </w:r>
      <w:r w:rsidR="00A02163">
        <w:rPr>
          <w:b/>
          <w:bCs/>
        </w:rPr>
        <w:t>:</w:t>
      </w:r>
    </w:p>
    <w:p w14:paraId="1925E43B" w14:textId="77777777" w:rsidR="00527146" w:rsidRDefault="00527146" w:rsidP="003254FC">
      <w:pPr>
        <w:pStyle w:val="Brdtekst"/>
        <w:jc w:val="both"/>
        <w:rPr>
          <w:b/>
          <w:bCs/>
        </w:rPr>
      </w:pPr>
    </w:p>
    <w:p w14:paraId="30A62316" w14:textId="77777777" w:rsidR="00476D6C" w:rsidRDefault="00FA46F9" w:rsidP="003254FC">
      <w:pPr>
        <w:pStyle w:val="Brdtekst"/>
        <w:jc w:val="both"/>
      </w:pPr>
      <w:r>
        <w:t xml:space="preserve">Principperne i denne vejledning gælder for de </w:t>
      </w:r>
      <w:r w:rsidR="00861E6A">
        <w:t>situationer, hvor</w:t>
      </w:r>
      <w:r w:rsidR="00476D6C">
        <w:t>:</w:t>
      </w:r>
    </w:p>
    <w:p w14:paraId="57A568E2" w14:textId="77777777" w:rsidR="00476D6C" w:rsidRDefault="00476D6C" w:rsidP="003254FC">
      <w:pPr>
        <w:pStyle w:val="Brdtekst"/>
        <w:jc w:val="both"/>
      </w:pPr>
    </w:p>
    <w:p w14:paraId="6A9E3DCD" w14:textId="1B1F6598" w:rsidR="0058559C" w:rsidRDefault="00C65170" w:rsidP="0058559C">
      <w:pPr>
        <w:pStyle w:val="Opstilling-punkttegn"/>
      </w:pPr>
      <w:r>
        <w:t>En støtteberettiget virksomhed har</w:t>
      </w:r>
      <w:r w:rsidR="00147CBA">
        <w:t xml:space="preserve"> købt</w:t>
      </w:r>
      <w:r w:rsidR="00CD335A">
        <w:t xml:space="preserve">, </w:t>
      </w:r>
      <w:r w:rsidR="00147CBA">
        <w:t>solgt</w:t>
      </w:r>
      <w:r w:rsidR="00CD335A">
        <w:t>, fusioneret, udspaltet eller modtaget udspaltede</w:t>
      </w:r>
      <w:r w:rsidR="00147CBA">
        <w:t xml:space="preserve"> </w:t>
      </w:r>
      <w:r w:rsidR="00CD335A">
        <w:t>aktiviteter eller aktiver til</w:t>
      </w:r>
      <w:r w:rsidR="00D41E5D">
        <w:t>/fra</w:t>
      </w:r>
      <w:r w:rsidR="00CD335A">
        <w:t xml:space="preserve"> en anden virksomhed i </w:t>
      </w:r>
      <w:r w:rsidR="00D41E5D">
        <w:lastRenderedPageBreak/>
        <w:t>samme koncern</w:t>
      </w:r>
      <w:r w:rsidR="00CD335A">
        <w:t xml:space="preserve"> </w:t>
      </w:r>
      <w:bookmarkStart w:id="2" w:name="_Hlk48199112"/>
      <w:r w:rsidR="00E1374D">
        <w:t xml:space="preserve">enten </w:t>
      </w:r>
      <w:r w:rsidR="00122D10">
        <w:t>med retsvirkning senest</w:t>
      </w:r>
      <w:r>
        <w:t xml:space="preserve"> den 9. marts </w:t>
      </w:r>
      <w:r w:rsidR="002A39AC">
        <w:t>2020</w:t>
      </w:r>
      <w:r w:rsidR="00E1374D">
        <w:t xml:space="preserve"> eller med retsvirkning efter den 9. marts 2020</w:t>
      </w:r>
      <w:bookmarkEnd w:id="2"/>
      <w:r w:rsidR="002A39AC">
        <w:t>.</w:t>
      </w:r>
    </w:p>
    <w:p w14:paraId="35A3587F" w14:textId="77777777" w:rsidR="002A39AC" w:rsidRDefault="002A39AC" w:rsidP="002A39AC">
      <w:pPr>
        <w:pStyle w:val="Opstilling-punkttegn"/>
        <w:numPr>
          <w:ilvl w:val="0"/>
          <w:numId w:val="0"/>
        </w:numPr>
        <w:ind w:left="360"/>
      </w:pPr>
    </w:p>
    <w:p w14:paraId="3BD19E0D" w14:textId="42B66C66" w:rsidR="00476D6C" w:rsidRDefault="00C65170" w:rsidP="0058559C">
      <w:pPr>
        <w:pStyle w:val="Opstilling-punkttegn"/>
      </w:pPr>
      <w:r>
        <w:t xml:space="preserve">En støtteberettiget virksomhed </w:t>
      </w:r>
      <w:r w:rsidR="00D41E5D">
        <w:t xml:space="preserve">har købt, solgt, fusioneret, udspaltet eller modtaget udspaltede aktiviteter eller aktiver til/fra en anden virksomhed (som ikke er koncernforbunden) </w:t>
      </w:r>
      <w:r w:rsidR="00E1374D">
        <w:t>enten med retsvirkning senest den 9. marts 2020 eller med retsvirkning efter den 9. marts 2020</w:t>
      </w:r>
      <w:r w:rsidR="00C86945">
        <w:t>.</w:t>
      </w:r>
    </w:p>
    <w:p w14:paraId="4BDFA858" w14:textId="5E4A1720" w:rsidR="004B22A5" w:rsidRDefault="004B22A5" w:rsidP="00476D6C">
      <w:pPr>
        <w:pStyle w:val="Opstilling-punkttegn"/>
        <w:numPr>
          <w:ilvl w:val="0"/>
          <w:numId w:val="0"/>
        </w:numPr>
      </w:pPr>
    </w:p>
    <w:p w14:paraId="75E2D186" w14:textId="43853B01" w:rsidR="00E5375F" w:rsidRDefault="004B22A5" w:rsidP="00476D6C">
      <w:pPr>
        <w:pStyle w:val="Opstilling-punkttegn"/>
        <w:numPr>
          <w:ilvl w:val="0"/>
          <w:numId w:val="0"/>
        </w:numPr>
      </w:pPr>
      <w:r>
        <w:t xml:space="preserve">Det følger af bekendtgørelsen, at </w:t>
      </w:r>
      <w:r w:rsidR="008D3221">
        <w:t xml:space="preserve">kompensation </w:t>
      </w:r>
      <w:r w:rsidR="00E5375F">
        <w:t xml:space="preserve">skal </w:t>
      </w:r>
      <w:r w:rsidR="008D3221">
        <w:t>søges af en virksomhed</w:t>
      </w:r>
      <w:r w:rsidR="00E24E00">
        <w:t xml:space="preserve"> (d</w:t>
      </w:r>
      <w:r w:rsidR="00E5375F">
        <w:t>vs. en enhed, der har et CVR-nummer</w:t>
      </w:r>
      <w:r w:rsidR="00E24E00">
        <w:t>), der senest den 9. marts 2020 er registreret i CVR-registret</w:t>
      </w:r>
      <w:r w:rsidR="00E5375F">
        <w:t>.</w:t>
      </w:r>
      <w:r w:rsidR="00E24E00">
        <w:rPr>
          <w:rStyle w:val="Fodnotehenvisning"/>
        </w:rPr>
        <w:footnoteReference w:id="3"/>
      </w:r>
      <w:r w:rsidR="001B6CD4">
        <w:t xml:space="preserve"> </w:t>
      </w:r>
    </w:p>
    <w:p w14:paraId="69355AF8" w14:textId="3EEFD27B" w:rsidR="00E24E00" w:rsidRDefault="00E24E00" w:rsidP="00476D6C">
      <w:pPr>
        <w:pStyle w:val="Opstilling-punkttegn"/>
        <w:numPr>
          <w:ilvl w:val="0"/>
          <w:numId w:val="0"/>
        </w:numPr>
      </w:pPr>
    </w:p>
    <w:p w14:paraId="116A923A" w14:textId="4DB61951" w:rsidR="00E24E00" w:rsidRDefault="00E24E00" w:rsidP="00476D6C">
      <w:pPr>
        <w:pStyle w:val="Opstilling-punkttegn"/>
        <w:numPr>
          <w:ilvl w:val="0"/>
          <w:numId w:val="0"/>
        </w:numPr>
      </w:pPr>
      <w:r>
        <w:t xml:space="preserve">Det indebærer, at i det omfang en ansøgning </w:t>
      </w:r>
      <w:r w:rsidR="00473C1E">
        <w:t>inds</w:t>
      </w:r>
      <w:r>
        <w:t xml:space="preserve">endes af </w:t>
      </w:r>
      <w:r w:rsidR="00272A66">
        <w:t>e</w:t>
      </w:r>
      <w:r>
        <w:t>n virksomhed</w:t>
      </w:r>
      <w:r w:rsidR="00AB10B8">
        <w:t xml:space="preserve"> (et CVR-nr.)</w:t>
      </w:r>
      <w:r>
        <w:t xml:space="preserve">, der først er stiftet efter den 9. marts 2020, skal denne ansøgning afvises, da betingelserne for at opnå støtte under ordningen ikke er opfyldt. </w:t>
      </w:r>
    </w:p>
    <w:p w14:paraId="4FA282E3" w14:textId="77777777" w:rsidR="00E5375F" w:rsidRDefault="00E5375F" w:rsidP="00476D6C">
      <w:pPr>
        <w:pStyle w:val="Opstilling-punkttegn"/>
        <w:numPr>
          <w:ilvl w:val="0"/>
          <w:numId w:val="0"/>
        </w:numPr>
      </w:pPr>
    </w:p>
    <w:p w14:paraId="5B661AB0" w14:textId="67090F2B" w:rsidR="004B22A5" w:rsidRDefault="00E5375F" w:rsidP="00476D6C">
      <w:pPr>
        <w:pStyle w:val="Opstilling-punkttegn"/>
        <w:numPr>
          <w:ilvl w:val="0"/>
          <w:numId w:val="0"/>
        </w:numPr>
      </w:pPr>
      <w:r>
        <w:t>En a</w:t>
      </w:r>
      <w:r w:rsidR="001B6CD4">
        <w:t>nsøgning om kompensation omfatter enten en kompensationsperiode på 3 måneder (fra 9. marts 2020 til 8. juni 2020) eller en kompensationsperiode på 4 måneder (fra 9. marts 2020 til 8. juli 2020).</w:t>
      </w:r>
      <w:r w:rsidR="00BD219B">
        <w:rPr>
          <w:rStyle w:val="Fodnotehenvisning"/>
        </w:rPr>
        <w:footnoteReference w:id="4"/>
      </w:r>
      <w:r w:rsidR="001B6CD4">
        <w:t xml:space="preserve"> </w:t>
      </w:r>
      <w:r w:rsidR="001B5451">
        <w:t xml:space="preserve">Bekendtgørelsen indeholder ikke hjemmel til at ansøge om kompensation for en kortere eller længere periode. </w:t>
      </w:r>
    </w:p>
    <w:p w14:paraId="517F7B46" w14:textId="22A90F30" w:rsidR="001B6CD4" w:rsidRDefault="001B6CD4" w:rsidP="00476D6C">
      <w:pPr>
        <w:pStyle w:val="Opstilling-punkttegn"/>
        <w:numPr>
          <w:ilvl w:val="0"/>
          <w:numId w:val="0"/>
        </w:numPr>
      </w:pPr>
    </w:p>
    <w:p w14:paraId="0252E844" w14:textId="3CE1D8BC" w:rsidR="00473C1E" w:rsidRDefault="00473C1E" w:rsidP="00473C1E">
      <w:r>
        <w:t xml:space="preserve">Det er således ikke forudset i </w:t>
      </w:r>
      <w:r w:rsidR="00C54DEF">
        <w:t>bekendtgørelsen</w:t>
      </w:r>
      <w:r>
        <w:t xml:space="preserve"> at støtte til </w:t>
      </w:r>
      <w:r w:rsidR="00272A66">
        <w:t>en virksomhed</w:t>
      </w:r>
      <w:r>
        <w:t xml:space="preserve"> kan opdeles i flere ansøgninger indsendt af flere forskellige </w:t>
      </w:r>
      <w:r w:rsidR="00272A66">
        <w:t>CVR-</w:t>
      </w:r>
      <w:r w:rsidR="00E333BA">
        <w:t>nr.</w:t>
      </w:r>
      <w:r w:rsidR="00FC7EE5">
        <w:t xml:space="preserve">, i de tilfælde, hvor </w:t>
      </w:r>
      <w:r w:rsidR="00FC495C">
        <w:t>aktiviteten</w:t>
      </w:r>
      <w:r w:rsidR="00E50554">
        <w:t xml:space="preserve"> </w:t>
      </w:r>
      <w:r w:rsidR="00FC7EE5">
        <w:t>har skiftet ejer enten før eller under kompensationsperioden.</w:t>
      </w:r>
    </w:p>
    <w:p w14:paraId="10F02C18" w14:textId="68D8584D" w:rsidR="001B6CD4" w:rsidRDefault="001B6CD4" w:rsidP="00476D6C">
      <w:pPr>
        <w:pStyle w:val="Opstilling-punkttegn"/>
        <w:numPr>
          <w:ilvl w:val="0"/>
          <w:numId w:val="0"/>
        </w:numPr>
      </w:pPr>
    </w:p>
    <w:p w14:paraId="4EC07C08" w14:textId="3F447273" w:rsidR="001B6CD4" w:rsidRDefault="001B6CD4" w:rsidP="00476D6C">
      <w:pPr>
        <w:pStyle w:val="Opstilling-punkttegn"/>
        <w:numPr>
          <w:ilvl w:val="0"/>
          <w:numId w:val="0"/>
        </w:numPr>
      </w:pPr>
      <w:r>
        <w:t xml:space="preserve">I det omfang en </w:t>
      </w:r>
      <w:r w:rsidR="00FC495C">
        <w:t xml:space="preserve">aktivitet </w:t>
      </w:r>
      <w:r>
        <w:t xml:space="preserve">købes, sælges, </w:t>
      </w:r>
      <w:r w:rsidR="0018724F">
        <w:t>ud</w:t>
      </w:r>
      <w:r>
        <w:t xml:space="preserve">spaltes mv. enten </w:t>
      </w:r>
      <w:r w:rsidR="00E5375F">
        <w:t>i perioden mellem den 1. april 2019 og den</w:t>
      </w:r>
      <w:r>
        <w:t xml:space="preserve"> 9. marts 2020 eller i perioden</w:t>
      </w:r>
      <w:r w:rsidR="00E5375F">
        <w:t xml:space="preserve"> fra den 9. marts 2020 og</w:t>
      </w:r>
      <w:r>
        <w:t xml:space="preserve"> indtil den 8. juli 2020, skal det </w:t>
      </w:r>
      <w:r w:rsidR="00FC7EE5">
        <w:t xml:space="preserve">derfor </w:t>
      </w:r>
      <w:r>
        <w:t xml:space="preserve">fastlægges, hvilken virksomhed der er berettiget til at søge kompensation. </w:t>
      </w:r>
    </w:p>
    <w:p w14:paraId="0C152FC0" w14:textId="23D59EE3" w:rsidR="001B6CD4" w:rsidRDefault="001B6CD4" w:rsidP="00476D6C">
      <w:pPr>
        <w:pStyle w:val="Opstilling-punkttegn"/>
        <w:numPr>
          <w:ilvl w:val="0"/>
          <w:numId w:val="0"/>
        </w:numPr>
      </w:pPr>
    </w:p>
    <w:p w14:paraId="2212E8CF" w14:textId="377DF2B5" w:rsidR="0095602E" w:rsidRDefault="001B6CD4" w:rsidP="00476D6C">
      <w:pPr>
        <w:pStyle w:val="Opstilling-punkttegn"/>
        <w:numPr>
          <w:ilvl w:val="0"/>
          <w:numId w:val="0"/>
        </w:numPr>
      </w:pPr>
      <w:r>
        <w:t xml:space="preserve">Bekendtgørelsen indeholder ikke specifikke retningslinjer for, hvordan ændringer i en virksomheds forhold skal sagsbehandles. </w:t>
      </w:r>
      <w:r w:rsidR="003C19C9">
        <w:t xml:space="preserve">Vurderingen skal derfor foretages med afsæt i de generelle principper i selskabsloven, årsregnskabsloven mv. </w:t>
      </w:r>
    </w:p>
    <w:p w14:paraId="61CBF017" w14:textId="77777777" w:rsidR="003C19C9" w:rsidRDefault="003C19C9" w:rsidP="00476D6C">
      <w:pPr>
        <w:pStyle w:val="Opstilling-punkttegn"/>
        <w:numPr>
          <w:ilvl w:val="0"/>
          <w:numId w:val="0"/>
        </w:numPr>
      </w:pPr>
    </w:p>
    <w:p w14:paraId="553D1E8A" w14:textId="3B0C4BFD" w:rsidR="001B6CD4" w:rsidRDefault="001B6CD4" w:rsidP="00476D6C">
      <w:pPr>
        <w:pStyle w:val="Opstilling-punkttegn"/>
        <w:numPr>
          <w:ilvl w:val="0"/>
          <w:numId w:val="0"/>
        </w:numPr>
      </w:pPr>
      <w:r>
        <w:t xml:space="preserve">Bekendtgørelsen indeholder derimod en række bestemmelser, der skal overholdes uanset, at der er sket ændringer i den støtteberettigede virksomheds forhold. </w:t>
      </w:r>
    </w:p>
    <w:p w14:paraId="2672D00D" w14:textId="77777777" w:rsidR="00771E3A" w:rsidRDefault="00771E3A" w:rsidP="00476D6C">
      <w:pPr>
        <w:pStyle w:val="Opstilling-punkttegn"/>
        <w:numPr>
          <w:ilvl w:val="0"/>
          <w:numId w:val="0"/>
        </w:numPr>
      </w:pPr>
    </w:p>
    <w:p w14:paraId="4A35FAA1" w14:textId="5A5F712B" w:rsidR="00C16DF2" w:rsidRDefault="00771E3A" w:rsidP="00476D6C">
      <w:pPr>
        <w:pStyle w:val="Opstilling-punkttegn"/>
        <w:numPr>
          <w:ilvl w:val="0"/>
          <w:numId w:val="0"/>
        </w:numPr>
      </w:pPr>
      <w:r>
        <w:t xml:space="preserve">Afgørende i den forbindelse er, at en ansøgende virksomhed alene kan opnå støtte for tab, der </w:t>
      </w:r>
      <w:r w:rsidR="009B4676">
        <w:t xml:space="preserve">ikke </w:t>
      </w:r>
      <w:r>
        <w:t>godtgøres virksomheden på anden vis.</w:t>
      </w:r>
      <w:r>
        <w:rPr>
          <w:rStyle w:val="Fodnotehenvisning"/>
        </w:rPr>
        <w:footnoteReference w:id="5"/>
      </w:r>
      <w:r w:rsidR="002A39AC">
        <w:t xml:space="preserve"> </w:t>
      </w:r>
      <w:r w:rsidR="00C16DF2">
        <w:t>Støttemodtagende virksomheder kan med andre ord ikke overkompenseres</w:t>
      </w:r>
      <w:r w:rsidR="00E5375F">
        <w:t xml:space="preserve"> eller få dækket tab, som de ikke har haft</w:t>
      </w:r>
      <w:r w:rsidR="00C16DF2">
        <w:t>.</w:t>
      </w:r>
    </w:p>
    <w:p w14:paraId="1A856BCB" w14:textId="77777777" w:rsidR="00E50554" w:rsidRDefault="00E50554" w:rsidP="00476D6C">
      <w:pPr>
        <w:pStyle w:val="Opstilling-punkttegn"/>
        <w:numPr>
          <w:ilvl w:val="0"/>
          <w:numId w:val="0"/>
        </w:numPr>
      </w:pPr>
    </w:p>
    <w:p w14:paraId="22CA4D97" w14:textId="6F61CD9D" w:rsidR="00C3528E" w:rsidRDefault="00C3528E" w:rsidP="00476D6C">
      <w:pPr>
        <w:pStyle w:val="Opstilling-punkttegn"/>
        <w:numPr>
          <w:ilvl w:val="0"/>
          <w:numId w:val="0"/>
        </w:numPr>
      </w:pPr>
      <w:r>
        <w:lastRenderedPageBreak/>
        <w:t>Det er i den forbindelse vigtigt at bemærke, at Kommissionens statsstøttegodkendelse helt overordnet er betinget af, at støtten er proportional</w:t>
      </w:r>
      <w:r w:rsidR="0081458C">
        <w:t>.</w:t>
      </w:r>
      <w:r>
        <w:rPr>
          <w:rStyle w:val="Fodnotehenvisning"/>
        </w:rPr>
        <w:footnoteReference w:id="6"/>
      </w:r>
      <w:r>
        <w:t xml:space="preserve"> </w:t>
      </w:r>
      <w:bookmarkStart w:id="3" w:name="_Hlk47981519"/>
      <w:r>
        <w:t xml:space="preserve">Det indebærer navnlig, at støtten skal være begrænset til det strengt nødvendige og ikke må resultere i overkompensation. Denne vurdering aktualiseres navnlig i de tilfælde, hvor en </w:t>
      </w:r>
      <w:r w:rsidR="00FC495C">
        <w:t>aktivitet</w:t>
      </w:r>
      <w:r w:rsidR="00125EE3">
        <w:t xml:space="preserve"> </w:t>
      </w:r>
      <w:r>
        <w:t>er overdraget under kompensationsperioden.</w:t>
      </w:r>
    </w:p>
    <w:p w14:paraId="4FDD422F" w14:textId="1B9082C3" w:rsidR="0099551D" w:rsidRDefault="0099551D" w:rsidP="00476D6C">
      <w:pPr>
        <w:pStyle w:val="Opstilling-punkttegn"/>
        <w:numPr>
          <w:ilvl w:val="0"/>
          <w:numId w:val="0"/>
        </w:numPr>
      </w:pPr>
    </w:p>
    <w:p w14:paraId="70B5E5F0" w14:textId="63B838B2" w:rsidR="0071367F" w:rsidRDefault="0080170C" w:rsidP="0099551D">
      <w:r>
        <w:t xml:space="preserve">For at sikre, at der ikke sker </w:t>
      </w:r>
      <w:r w:rsidR="0071367F">
        <w:t>overkompensation,</w:t>
      </w:r>
      <w:r>
        <w:t xml:space="preserve"> bør </w:t>
      </w:r>
      <w:r w:rsidR="00C3528E">
        <w:t>en virksomhed</w:t>
      </w:r>
      <w:r>
        <w:t xml:space="preserve"> s</w:t>
      </w:r>
      <w:r w:rsidR="0099551D">
        <w:t xml:space="preserve">om udgangspunkt alene </w:t>
      </w:r>
      <w:r>
        <w:t>tildeles</w:t>
      </w:r>
      <w:r w:rsidR="0099551D">
        <w:t xml:space="preserve"> kompensation for den periode, hvor </w:t>
      </w:r>
      <w:r w:rsidR="00C3528E">
        <w:t xml:space="preserve">virksomheden har ejet de aktiviteter, som de faste omkostninger knytter sig til. </w:t>
      </w:r>
      <w:r w:rsidR="0071367F">
        <w:t xml:space="preserve"> </w:t>
      </w:r>
      <w:r w:rsidR="0099551D">
        <w:t xml:space="preserve"> </w:t>
      </w:r>
    </w:p>
    <w:p w14:paraId="621E50C5" w14:textId="77777777" w:rsidR="0071367F" w:rsidRDefault="0071367F" w:rsidP="0099551D"/>
    <w:p w14:paraId="088298D3" w14:textId="282E41D4" w:rsidR="0071367F" w:rsidRDefault="0071367F" w:rsidP="0099551D">
      <w:r>
        <w:t xml:space="preserve">Dette udgangspunkt kan dog fraviges, hvis </w:t>
      </w:r>
      <w:r w:rsidR="00C3528E">
        <w:t xml:space="preserve">den </w:t>
      </w:r>
      <w:r w:rsidR="0099551D">
        <w:t>købe</w:t>
      </w:r>
      <w:r w:rsidR="00C3528E">
        <w:t>nde virksomhed</w:t>
      </w:r>
      <w:r w:rsidR="0099551D">
        <w:t xml:space="preserve"> kan godtgøre, at salgsprisen ikke tager højde for de tab, som </w:t>
      </w:r>
      <w:r w:rsidR="00C3528E">
        <w:t>aktiviteten</w:t>
      </w:r>
      <w:r w:rsidR="0099551D">
        <w:t xml:space="preserve"> har realiseret under COVID-19, og hvor </w:t>
      </w:r>
      <w:r w:rsidR="00C3528E">
        <w:t xml:space="preserve">den </w:t>
      </w:r>
      <w:r w:rsidR="0099551D">
        <w:t>købe</w:t>
      </w:r>
      <w:r w:rsidR="00C3528E">
        <w:t>nde virksomhed</w:t>
      </w:r>
      <w:r w:rsidR="0099551D">
        <w:t xml:space="preserve"> derfor lider tab også som følge af forhold, der indtraf, før</w:t>
      </w:r>
      <w:r w:rsidR="00C3528E">
        <w:t xml:space="preserve"> den</w:t>
      </w:r>
      <w:r w:rsidR="0099551D">
        <w:t xml:space="preserve"> køben</w:t>
      </w:r>
      <w:r w:rsidR="00C3528E">
        <w:t>de</w:t>
      </w:r>
      <w:r w:rsidR="0099551D">
        <w:t xml:space="preserve"> </w:t>
      </w:r>
      <w:r>
        <w:t>virksomhed</w:t>
      </w:r>
      <w:r w:rsidR="00C3528E">
        <w:t xml:space="preserve"> erhvervede aktiviteten</w:t>
      </w:r>
      <w:r w:rsidR="0099551D">
        <w:t xml:space="preserve">. </w:t>
      </w:r>
    </w:p>
    <w:p w14:paraId="0FF35BD6" w14:textId="77777777" w:rsidR="0071367F" w:rsidRDefault="0071367F" w:rsidP="0099551D"/>
    <w:p w14:paraId="050260A5" w14:textId="2BEFE66A" w:rsidR="0099551D" w:rsidRDefault="0099551D" w:rsidP="0099551D">
      <w:r>
        <w:t>Medmindre en aftale om overdragelse af</w:t>
      </w:r>
      <w:r w:rsidR="0071367F">
        <w:t xml:space="preserve"> </w:t>
      </w:r>
      <w:r w:rsidR="00FC495C">
        <w:t>aktiviteten i</w:t>
      </w:r>
      <w:r>
        <w:t xml:space="preserve"> kompensationsperio</w:t>
      </w:r>
      <w:r w:rsidR="00C3528E">
        <w:t>de</w:t>
      </w:r>
      <w:r w:rsidR="00FC7EE5">
        <w:t xml:space="preserve">n </w:t>
      </w:r>
      <w:r>
        <w:t xml:space="preserve">blev indgået, før COVID-19-udbruddet for alvor påvirkede Danmark, bør dokumentationskravene til ansøgervirksomheden i relation til at godtgøre, at salgsprisen ikke tager højde for de tab, som </w:t>
      </w:r>
      <w:r w:rsidR="00FC7EE5">
        <w:t>virksomheden</w:t>
      </w:r>
      <w:r>
        <w:t xml:space="preserve"> har realiseret under COVID-19, være ganske høje, da det må forventes, at en rationel køber og sælger, der agerer på markedsvilkår, har taget højde for den daværende situation i overdragelsesaftalen. </w:t>
      </w:r>
    </w:p>
    <w:p w14:paraId="47424B65" w14:textId="77777777" w:rsidR="0099551D" w:rsidRDefault="0099551D" w:rsidP="0099551D"/>
    <w:p w14:paraId="55533709" w14:textId="77777777" w:rsidR="0099551D" w:rsidRDefault="0099551D" w:rsidP="0099551D">
      <w:r>
        <w:t xml:space="preserve">Det er den købende (og dermed ansøgende) virksomhed, der skal kunne løfte bevisbyrden for, at tabet ikke er dækket på anden vis. </w:t>
      </w:r>
    </w:p>
    <w:p w14:paraId="747329D6" w14:textId="77777777" w:rsidR="0099551D" w:rsidRDefault="0099551D" w:rsidP="0099551D"/>
    <w:p w14:paraId="0118E138" w14:textId="69DC20B5" w:rsidR="0099551D" w:rsidRDefault="0099551D" w:rsidP="0099551D">
      <w:r>
        <w:t xml:space="preserve">I de situationer, hvor </w:t>
      </w:r>
      <w:r w:rsidR="00FC495C">
        <w:t>salgs</w:t>
      </w:r>
      <w:r>
        <w:t xml:space="preserve">prisen ikke er påvirket af </w:t>
      </w:r>
      <w:r w:rsidR="00FC495C">
        <w:t>aktivitetens</w:t>
      </w:r>
      <w:r w:rsidR="0071367F">
        <w:t xml:space="preserve"> </w:t>
      </w:r>
      <w:r>
        <w:t xml:space="preserve">realiserede tab under COVID-19-udbruddet, og hvor der således er betalt en ”for høj” pris, vil den købende virksomhed kunne ansøge om kompensation for hele kompensationsperioden, uanset at </w:t>
      </w:r>
      <w:r w:rsidR="00FC495C">
        <w:t>aktiviteten i</w:t>
      </w:r>
      <w:r>
        <w:t xml:space="preserve"> dele af kompensationsperioden har været ejet af en anden </w:t>
      </w:r>
      <w:r w:rsidR="0071367F">
        <w:t>koncern</w:t>
      </w:r>
      <w:r>
        <w:t>. I den situation er det vurdering</w:t>
      </w:r>
      <w:r w:rsidR="00BE4B41">
        <w:t>en</w:t>
      </w:r>
      <w:r>
        <w:t>, at dette ikke fører til overkompensation af den købende virksomhed.</w:t>
      </w:r>
    </w:p>
    <w:bookmarkEnd w:id="3"/>
    <w:p w14:paraId="3284D92B" w14:textId="77777777" w:rsidR="0099551D" w:rsidRDefault="0099551D" w:rsidP="0099551D"/>
    <w:p w14:paraId="2D8C0676" w14:textId="10381516" w:rsidR="0099551D" w:rsidRDefault="0099551D" w:rsidP="0099551D">
      <w:r>
        <w:t xml:space="preserve">Vurderingen af de lidte tab skal i øvrigt tage udgangspunkt i de aktiver, rettigheder og forpligtelser, der rent faktisk er overdraget. Hvis sælger f.eks. har afskediget eller beholdt en række medarbejdere, der tidligere var tilknyttet </w:t>
      </w:r>
      <w:r w:rsidR="00FC7EE5">
        <w:t>virksomheden</w:t>
      </w:r>
      <w:r>
        <w:t xml:space="preserve">, skal disse som hovedregel ikke indgå i opgørelsen af det lidte tab. </w:t>
      </w:r>
    </w:p>
    <w:p w14:paraId="11F527BE" w14:textId="77777777" w:rsidR="0099551D" w:rsidRDefault="0099551D" w:rsidP="00476D6C">
      <w:pPr>
        <w:pStyle w:val="Opstilling-punkttegn"/>
        <w:numPr>
          <w:ilvl w:val="0"/>
          <w:numId w:val="0"/>
        </w:numPr>
      </w:pPr>
    </w:p>
    <w:p w14:paraId="2AD35772" w14:textId="77777777" w:rsidR="00743DEF" w:rsidRDefault="00AA5670" w:rsidP="00E5375F">
      <w:pPr>
        <w:pStyle w:val="Brdtekst"/>
        <w:jc w:val="both"/>
      </w:pPr>
      <w:r>
        <w:t>Denne vejledning finder alene anvendelse i de situationer, hvor der handles mellem to juridiske enheder</w:t>
      </w:r>
      <w:r w:rsidR="00743DEF">
        <w:t>, dvs. CVR-numre</w:t>
      </w:r>
      <w:r>
        <w:t xml:space="preserve">. </w:t>
      </w:r>
    </w:p>
    <w:p w14:paraId="72E33C17" w14:textId="77777777" w:rsidR="00743DEF" w:rsidRDefault="00743DEF" w:rsidP="00E5375F">
      <w:pPr>
        <w:pStyle w:val="Brdtekst"/>
        <w:jc w:val="both"/>
      </w:pPr>
    </w:p>
    <w:p w14:paraId="1A2003E8" w14:textId="4C0DD8A9" w:rsidR="00743DEF" w:rsidRDefault="00E5375F" w:rsidP="00E5375F">
      <w:pPr>
        <w:pStyle w:val="Brdtekst"/>
        <w:jc w:val="both"/>
      </w:pPr>
      <w:r>
        <w:t xml:space="preserve">I de situationer, hvor kapitalandele i et selskab købes/sælges, vil det ikke påvirke kompensationen, da kompensationen opgøres pr. CVR-nr. </w:t>
      </w:r>
      <w:r w:rsidR="00743DEF">
        <w:t xml:space="preserve">Tilsvarende vil være tilfældet, hvor en virksomhed drives </w:t>
      </w:r>
      <w:r w:rsidR="004473FF">
        <w:t>under</w:t>
      </w:r>
      <w:r w:rsidR="00743DEF">
        <w:t xml:space="preserve"> </w:t>
      </w:r>
      <w:r w:rsidR="004473FF">
        <w:t>é</w:t>
      </w:r>
      <w:r w:rsidR="00743DEF">
        <w:t xml:space="preserve">t CVR-nummer, men med en lang række underliggende P-numre, hvori der foretages omstruktureringer. </w:t>
      </w:r>
    </w:p>
    <w:p w14:paraId="6B9C00ED" w14:textId="77777777" w:rsidR="00743DEF" w:rsidRDefault="00743DEF" w:rsidP="00E5375F">
      <w:pPr>
        <w:pStyle w:val="Brdtekst"/>
        <w:jc w:val="both"/>
      </w:pPr>
    </w:p>
    <w:p w14:paraId="7FCCF5CD" w14:textId="78B950EB" w:rsidR="00AA5670" w:rsidRDefault="00E5375F" w:rsidP="00B903EE">
      <w:pPr>
        <w:pStyle w:val="Brdtekst"/>
        <w:jc w:val="both"/>
      </w:pPr>
      <w:r>
        <w:lastRenderedPageBreak/>
        <w:t xml:space="preserve">Opgørelsen på CVR-niveau indebærer også, at </w:t>
      </w:r>
      <w:r w:rsidRPr="00F64B65">
        <w:t>gevinster/tab i dattervirksomheder eller på investeringer i dattervirksomheder, ikke er omfattet af kompensationsordningen.</w:t>
      </w:r>
    </w:p>
    <w:p w14:paraId="1E011084" w14:textId="77777777" w:rsidR="002176D5" w:rsidRDefault="002176D5" w:rsidP="003254FC">
      <w:pPr>
        <w:pStyle w:val="Brdtekst"/>
        <w:jc w:val="both"/>
      </w:pPr>
    </w:p>
    <w:p w14:paraId="64DCF2DF" w14:textId="46915653" w:rsidR="00641C3E" w:rsidRDefault="00641C3E" w:rsidP="003254FC">
      <w:pPr>
        <w:pStyle w:val="Brdtekst"/>
        <w:jc w:val="both"/>
      </w:pPr>
      <w:r>
        <w:t>Retningslinjerne i notat</w:t>
      </w:r>
      <w:r w:rsidR="00F66719">
        <w:t>et</w:t>
      </w:r>
      <w:r>
        <w:t xml:space="preserve"> skal anvendes på de af notatet omfattede transaktioner, </w:t>
      </w:r>
      <w:r w:rsidR="00324DE3">
        <w:t>der</w:t>
      </w:r>
      <w:r>
        <w:t xml:space="preserve"> har fundet sted i perioden </w:t>
      </w:r>
      <w:r w:rsidRPr="00F64B65">
        <w:t>1. april 2019 til 8. ju</w:t>
      </w:r>
      <w:r w:rsidR="00EF1CF6">
        <w:t>l</w:t>
      </w:r>
      <w:r w:rsidRPr="00F64B65">
        <w:t>i 2020</w:t>
      </w:r>
      <w:r>
        <w:t>.</w:t>
      </w:r>
    </w:p>
    <w:p w14:paraId="25A68A49" w14:textId="0113DAFB" w:rsidR="0050296D" w:rsidRDefault="0050296D" w:rsidP="003254FC">
      <w:pPr>
        <w:pStyle w:val="Brdtekst"/>
        <w:jc w:val="both"/>
      </w:pPr>
    </w:p>
    <w:p w14:paraId="71C47518" w14:textId="3378A2C7" w:rsidR="0050296D" w:rsidRPr="0050296D" w:rsidRDefault="00DA03C2" w:rsidP="003254FC">
      <w:pPr>
        <w:pStyle w:val="Brdtekst"/>
        <w:jc w:val="both"/>
        <w:rPr>
          <w:b/>
        </w:rPr>
      </w:pPr>
      <w:r>
        <w:rPr>
          <w:b/>
        </w:rPr>
        <w:t xml:space="preserve">2. </w:t>
      </w:r>
      <w:r w:rsidR="0050296D">
        <w:rPr>
          <w:b/>
        </w:rPr>
        <w:t xml:space="preserve">Koncerninterne aktiviteter </w:t>
      </w:r>
      <w:r w:rsidR="0050296D">
        <w:rPr>
          <w:b/>
          <w:bCs/>
          <w:i/>
          <w:iCs/>
        </w:rPr>
        <w:t>(</w:t>
      </w:r>
      <w:r w:rsidR="0050296D" w:rsidRPr="00255922">
        <w:rPr>
          <w:i/>
          <w:iCs/>
        </w:rPr>
        <w:t>transaktioner under samme parts bestemmende indflydelse</w:t>
      </w:r>
      <w:r w:rsidR="0050296D">
        <w:rPr>
          <w:b/>
          <w:bCs/>
          <w:i/>
          <w:iCs/>
        </w:rPr>
        <w:t>)</w:t>
      </w:r>
    </w:p>
    <w:p w14:paraId="723BFD05" w14:textId="77777777" w:rsidR="0050296D" w:rsidRDefault="0050296D" w:rsidP="002176D5">
      <w:pPr>
        <w:pStyle w:val="Brdtekst"/>
        <w:jc w:val="both"/>
      </w:pPr>
    </w:p>
    <w:p w14:paraId="431EEB72" w14:textId="430568D4" w:rsidR="00C82356" w:rsidRPr="00F247BF" w:rsidRDefault="00DA03C2" w:rsidP="002176D5">
      <w:pPr>
        <w:pStyle w:val="Brdtekst"/>
        <w:jc w:val="both"/>
        <w:rPr>
          <w:b/>
        </w:rPr>
      </w:pPr>
      <w:r>
        <w:rPr>
          <w:b/>
        </w:rPr>
        <w:t xml:space="preserve">2.1 </w:t>
      </w:r>
      <w:r w:rsidR="003E560B">
        <w:rPr>
          <w:b/>
        </w:rPr>
        <w:t>Koncerni</w:t>
      </w:r>
      <w:r w:rsidR="00C82356" w:rsidRPr="00F247BF">
        <w:rPr>
          <w:b/>
        </w:rPr>
        <w:t>ntern</w:t>
      </w:r>
      <w:r w:rsidR="003E560B">
        <w:rPr>
          <w:b/>
        </w:rPr>
        <w:t>e</w:t>
      </w:r>
      <w:r w:rsidR="00C82356" w:rsidRPr="00F247BF">
        <w:rPr>
          <w:b/>
        </w:rPr>
        <w:t xml:space="preserve"> omstrukturering</w:t>
      </w:r>
      <w:r w:rsidR="0002644C">
        <w:rPr>
          <w:b/>
        </w:rPr>
        <w:t xml:space="preserve"> (mellem CVR-numre)</w:t>
      </w:r>
      <w:r w:rsidR="00E24E00">
        <w:rPr>
          <w:b/>
        </w:rPr>
        <w:t xml:space="preserve">, </w:t>
      </w:r>
      <w:r w:rsidR="003E560B">
        <w:rPr>
          <w:b/>
        </w:rPr>
        <w:t>køb og salg</w:t>
      </w:r>
      <w:r w:rsidR="00E24E00">
        <w:rPr>
          <w:b/>
        </w:rPr>
        <w:t xml:space="preserve">, fusioner og </w:t>
      </w:r>
      <w:r w:rsidR="00321EB2">
        <w:rPr>
          <w:b/>
        </w:rPr>
        <w:t>ud</w:t>
      </w:r>
      <w:r w:rsidR="00E24E00">
        <w:rPr>
          <w:b/>
        </w:rPr>
        <w:t>spaltninger</w:t>
      </w:r>
      <w:r w:rsidR="00C82356" w:rsidRPr="00F247BF">
        <w:rPr>
          <w:b/>
        </w:rPr>
        <w:t>:</w:t>
      </w:r>
    </w:p>
    <w:p w14:paraId="67AA98D7" w14:textId="6F3C65A5" w:rsidR="003F4E84" w:rsidRDefault="00C82356" w:rsidP="00B00D58">
      <w:pPr>
        <w:pStyle w:val="Brdtekst"/>
        <w:jc w:val="both"/>
      </w:pPr>
      <w:r>
        <w:t>Det afgørende for vurderingen af en intern omstrukturering</w:t>
      </w:r>
      <w:r w:rsidR="00743DEF">
        <w:t>/køb og salg</w:t>
      </w:r>
      <w:r>
        <w:t xml:space="preserve"> er</w:t>
      </w:r>
      <w:r w:rsidR="004C0E7C">
        <w:t xml:space="preserve"> tidspunktet</w:t>
      </w:r>
      <w:r>
        <w:t>, d</w:t>
      </w:r>
      <w:r w:rsidR="009641AB">
        <w:t>e</w:t>
      </w:r>
      <w:r w:rsidR="00410DBC">
        <w:t>nn</w:t>
      </w:r>
      <w:r>
        <w:t>e har retsvirkning fra</w:t>
      </w:r>
      <w:r w:rsidR="00DA03C2">
        <w:t xml:space="preserve"> og ikke det regnskabsmæssige virkningspunkt</w:t>
      </w:r>
      <w:r>
        <w:t xml:space="preserve">. </w:t>
      </w:r>
    </w:p>
    <w:p w14:paraId="3CC1531C" w14:textId="692E9DA7" w:rsidR="002176D5" w:rsidRDefault="00C271AB" w:rsidP="002176D5">
      <w:pPr>
        <w:pStyle w:val="Brdtekst"/>
        <w:jc w:val="both"/>
      </w:pPr>
      <w:r>
        <w:t xml:space="preserve">Hvis omstruktureringen </w:t>
      </w:r>
      <w:r w:rsidR="00255922">
        <w:t>havde retsvirkning</w:t>
      </w:r>
      <w:r>
        <w:t xml:space="preserve"> senest 9. marts 2020, skal</w:t>
      </w:r>
      <w:r w:rsidR="00DA03C2">
        <w:t xml:space="preserve"> kompensationen henføres til den virk</w:t>
      </w:r>
      <w:r w:rsidR="00CC2B4F">
        <w:t>somhed</w:t>
      </w:r>
      <w:r w:rsidR="00BF432D">
        <w:t>,</w:t>
      </w:r>
      <w:r w:rsidR="00DA03C2">
        <w:t xml:space="preserve"> som kontrollerede aktiviteten den 9. marts 2020. </w:t>
      </w:r>
      <w:r w:rsidR="00007459">
        <w:t xml:space="preserve"> </w:t>
      </w:r>
      <w:r w:rsidR="00DA03C2">
        <w:t>Den kompensation, som virksomheden vil kunne opnå</w:t>
      </w:r>
      <w:r w:rsidR="00BF432D">
        <w:t>,</w:t>
      </w:r>
      <w:r w:rsidR="00DA03C2">
        <w:t xml:space="preserve"> svarer til </w:t>
      </w:r>
      <w:r w:rsidR="00007459">
        <w:t>den samlede</w:t>
      </w:r>
      <w:r>
        <w:t xml:space="preserve"> </w:t>
      </w:r>
      <w:r w:rsidR="007A291B">
        <w:t xml:space="preserve">kompensation, som virksomheden ville have været berettiget til, hvis omstrukturering havde været gennemført </w:t>
      </w:r>
      <w:r>
        <w:t>inden referenceperioden</w:t>
      </w:r>
      <w:r w:rsidR="007A291B">
        <w:t xml:space="preserve">. </w:t>
      </w:r>
    </w:p>
    <w:p w14:paraId="5F9E3422" w14:textId="77777777" w:rsidR="002176D5" w:rsidRDefault="002176D5" w:rsidP="002176D5">
      <w:pPr>
        <w:pStyle w:val="Brdtekst"/>
        <w:jc w:val="both"/>
      </w:pPr>
    </w:p>
    <w:p w14:paraId="5342E9D2" w14:textId="253F0D4D" w:rsidR="00337FE8" w:rsidRDefault="00DA03C2" w:rsidP="002176D5">
      <w:pPr>
        <w:pStyle w:val="Brdtekst"/>
        <w:jc w:val="both"/>
      </w:pPr>
      <w:r>
        <w:t xml:space="preserve">Har </w:t>
      </w:r>
      <w:r w:rsidR="000838FA">
        <w:t>omstruktureringen retsvirkninger</w:t>
      </w:r>
      <w:r w:rsidR="007A291B">
        <w:t xml:space="preserve"> </w:t>
      </w:r>
      <w:r>
        <w:t>efter den 9. marts 2020</w:t>
      </w:r>
      <w:r w:rsidR="007A291B">
        <w:t>, så skal kompensationen beregnes som om, at omstruktureringen ikke var gennemført</w:t>
      </w:r>
      <w:r w:rsidR="002176D5">
        <w:t xml:space="preserve"> og kompensationen henføres til den virksomhed som kontrollerede aktiviteten 9. marts 2020</w:t>
      </w:r>
      <w:r w:rsidR="007A291B">
        <w:t>.</w:t>
      </w:r>
      <w:r w:rsidR="00BF432D">
        <w:t xml:space="preserve"> </w:t>
      </w:r>
      <w:r w:rsidR="00B619A7">
        <w:t>Formålet med dette er at sikre, at den modtagende virksomhed ikke opnår kompensation for et tab, som denne virksomhed ikke har oppebåret</w:t>
      </w:r>
      <w:r w:rsidR="006A2C05">
        <w:t>.</w:t>
      </w:r>
    </w:p>
    <w:p w14:paraId="61DADB35" w14:textId="241863E9" w:rsidR="00B00D58" w:rsidRDefault="00B00D58" w:rsidP="002176D5">
      <w:pPr>
        <w:pStyle w:val="Brdtekst"/>
        <w:jc w:val="both"/>
      </w:pPr>
    </w:p>
    <w:p w14:paraId="45673165" w14:textId="28BDCE4F" w:rsidR="00B00D58" w:rsidRDefault="00B00D58" w:rsidP="00B00D58">
      <w:pPr>
        <w:pStyle w:val="Brdtekst"/>
        <w:jc w:val="both"/>
      </w:pPr>
      <w:r>
        <w:t>Ved interne omstruktureringer vil konsekvensen være, at den samlede koncern (med koncern menes de virksomheder som er under samme parts bestemmende indflydelse</w:t>
      </w:r>
      <w:r>
        <w:rPr>
          <w:rStyle w:val="Fodnotehenvisning"/>
        </w:rPr>
        <w:footnoteReference w:id="7"/>
      </w:r>
      <w:r>
        <w:t xml:space="preserve">, dvs. typisk modervirksomheden og alle dens dattervirksomheder) vil modtage den samme kompensation, som hvis den interne omstrukturering var gennemført inden begyndelsen af kompensationsperioden. </w:t>
      </w:r>
    </w:p>
    <w:p w14:paraId="22DEC8A2" w14:textId="77777777" w:rsidR="00B00D58" w:rsidRDefault="00B00D58" w:rsidP="00B00D58">
      <w:pPr>
        <w:pStyle w:val="Brdtekst"/>
        <w:jc w:val="both"/>
      </w:pPr>
    </w:p>
    <w:p w14:paraId="57C3B9A1" w14:textId="77777777" w:rsidR="00B00D58" w:rsidRDefault="00B00D58" w:rsidP="00B00D58">
      <w:pPr>
        <w:pStyle w:val="Brdtekst"/>
        <w:jc w:val="both"/>
      </w:pPr>
      <w:r>
        <w:t xml:space="preserve">Til illustration af princippet er der i nedenstående eksempel benyttet en virksomhed, som driver flere hoteller. Forholdet er dog gældende for mange brancher. </w:t>
      </w:r>
    </w:p>
    <w:p w14:paraId="0AB539F8" w14:textId="77777777" w:rsidR="00B00D58" w:rsidRDefault="00B00D58" w:rsidP="00B00D58">
      <w:pPr>
        <w:pStyle w:val="Brdtekst"/>
        <w:jc w:val="both"/>
      </w:pPr>
    </w:p>
    <w:p w14:paraId="657DA8D2" w14:textId="77777777" w:rsidR="00B00D58" w:rsidRDefault="00B00D58" w:rsidP="00B00D58">
      <w:pPr>
        <w:pStyle w:val="Brdtekst"/>
        <w:jc w:val="both"/>
      </w:pPr>
      <w:bookmarkStart w:id="4" w:name="_Hlk44838652"/>
      <w:r>
        <w:t>Eksempler på effekt af princippet:</w:t>
      </w:r>
    </w:p>
    <w:bookmarkEnd w:id="4"/>
    <w:p w14:paraId="20C2764E" w14:textId="77777777" w:rsidR="00B00D58" w:rsidRDefault="00B00D58" w:rsidP="00B00D58">
      <w:pPr>
        <w:pStyle w:val="Brdtekst"/>
        <w:jc w:val="both"/>
      </w:pPr>
    </w:p>
    <w:p w14:paraId="5F414508" w14:textId="77777777" w:rsidR="00B00D58" w:rsidRDefault="00B00D58" w:rsidP="00B00D58">
      <w:pPr>
        <w:pStyle w:val="Brdtekst"/>
        <w:ind w:left="1304"/>
        <w:jc w:val="both"/>
      </w:pPr>
      <w:r>
        <w:t xml:space="preserve">Hvis et selskab driver mange hoteller i ét selskab, og det besluttes, at alle hotellerne skal drives i separate selskaber, og dette var gennemført ved en transaktion med retsvirkning senest den 9. marts 2020, så vil kompensationen blive beregnet som om, at alle hotellerne i både referenceperioden (1. april – 30. juni 2019) og kompensationsperioden (9. marts – 8. juli 2020) var beliggende i selvstændige selskaber. Derved er kompensationsbeløbet maksimeret til 82,5/110 mio. kr. pr. selskab (hotel). </w:t>
      </w:r>
    </w:p>
    <w:p w14:paraId="660234AC" w14:textId="77777777" w:rsidR="00B00D58" w:rsidRDefault="00B00D58" w:rsidP="00B00D58">
      <w:pPr>
        <w:pStyle w:val="Brdtekst"/>
        <w:ind w:left="1304"/>
        <w:jc w:val="both"/>
      </w:pPr>
    </w:p>
    <w:p w14:paraId="4197AD43" w14:textId="63B60720" w:rsidR="003E560B" w:rsidRDefault="00B00D58" w:rsidP="008E047E">
      <w:pPr>
        <w:pStyle w:val="Brdtekst"/>
        <w:ind w:left="1304"/>
        <w:jc w:val="both"/>
      </w:pPr>
      <w:r>
        <w:lastRenderedPageBreak/>
        <w:t>Hvis gennemførelsen først sker den 10. marts 2020 eller senere beregnes kompensationen som om, at hotellerne stadig var beliggende i ét selskab. Derved er kompensationen begrænset til maksimalt 82,5/110 mio. kr. for hele koncernen. Dette skal sikre, at virksomhederne ikke laver interne omstruktureringer for at omgå begrænsningen på de 82,5/110 mio. kr. pr. virksomhed. Dette princip gør sig gældende uagtet om, at den interne omstrukturering har regnskabsmæssig tilbagevirkende kraft til f.eks. 1 januar 2020.</w:t>
      </w:r>
    </w:p>
    <w:p w14:paraId="593C48E4" w14:textId="0474E1A8" w:rsidR="008E047E" w:rsidRDefault="008E047E" w:rsidP="008B78D3">
      <w:pPr>
        <w:pStyle w:val="Brdtekst"/>
        <w:jc w:val="both"/>
      </w:pPr>
    </w:p>
    <w:p w14:paraId="13019EEF" w14:textId="2C27EAB2" w:rsidR="008B78D3" w:rsidRDefault="008B78D3" w:rsidP="008B78D3">
      <w:pPr>
        <w:pStyle w:val="Brdtekst"/>
        <w:jc w:val="both"/>
      </w:pPr>
      <w:r>
        <w:t xml:space="preserve">For de interne omstruktureringer skal man benytte den sælgende virksomheds bogførte værdier af de overdragne aktiver og forpligtelser på salgstidspunktet. </w:t>
      </w:r>
      <w:proofErr w:type="gramStart"/>
      <w:r>
        <w:t>Endvidere</w:t>
      </w:r>
      <w:proofErr w:type="gramEnd"/>
      <w:r>
        <w:t xml:space="preserve"> skal de overdragne aktiver afskrives på samme måde i den købende virksomhed, som aktiverne blev afskrevet i den sælgende virksomhed. Derved sikres det, at kompensationsbeløb ikke kan blive påvirket af højere afskrivninger i den købende virksomhed.</w:t>
      </w:r>
    </w:p>
    <w:p w14:paraId="1216818E" w14:textId="77777777" w:rsidR="008B78D3" w:rsidRDefault="008B78D3" w:rsidP="008B78D3">
      <w:pPr>
        <w:pStyle w:val="Brdtekst"/>
        <w:jc w:val="both"/>
      </w:pPr>
    </w:p>
    <w:p w14:paraId="635A7E6B" w14:textId="4EE370F9" w:rsidR="003E560B" w:rsidRPr="008E047E" w:rsidRDefault="003E560B" w:rsidP="00B00D58">
      <w:pPr>
        <w:pStyle w:val="Brdtekst"/>
        <w:jc w:val="both"/>
        <w:rPr>
          <w:b/>
        </w:rPr>
      </w:pPr>
      <w:r>
        <w:rPr>
          <w:b/>
        </w:rPr>
        <w:t>2.2. Koncern</w:t>
      </w:r>
      <w:r w:rsidR="00E24E00">
        <w:rPr>
          <w:b/>
        </w:rPr>
        <w:t>-</w:t>
      </w:r>
      <w:r>
        <w:rPr>
          <w:b/>
        </w:rPr>
        <w:t>eksterne køb og salg</w:t>
      </w:r>
      <w:r w:rsidR="00E24E00">
        <w:rPr>
          <w:b/>
        </w:rPr>
        <w:t xml:space="preserve">, fusioner og </w:t>
      </w:r>
      <w:r w:rsidR="00321EB2">
        <w:rPr>
          <w:b/>
        </w:rPr>
        <w:t>ud</w:t>
      </w:r>
      <w:r w:rsidR="00E24E00">
        <w:rPr>
          <w:b/>
        </w:rPr>
        <w:t>spaltninger</w:t>
      </w:r>
      <w:r>
        <w:rPr>
          <w:b/>
        </w:rPr>
        <w:t>:</w:t>
      </w:r>
    </w:p>
    <w:p w14:paraId="5FC69BEC" w14:textId="17F77B82" w:rsidR="003E560B" w:rsidRDefault="003E560B" w:rsidP="00B00D58">
      <w:pPr>
        <w:pStyle w:val="Brdtekst"/>
        <w:jc w:val="both"/>
      </w:pPr>
      <w:r>
        <w:t>Det afgørende for vurderingen af et koncern</w:t>
      </w:r>
      <w:r w:rsidR="00BB5DB4">
        <w:t>-</w:t>
      </w:r>
      <w:r>
        <w:t xml:space="preserve">eksternt køb eller salg er, hvornår dette har retsvirkning fra og ikke det regnskabsmæssige virkningspunkt. </w:t>
      </w:r>
    </w:p>
    <w:p w14:paraId="2CFF7161" w14:textId="77777777" w:rsidR="003E560B" w:rsidRDefault="003E560B" w:rsidP="00B00D58">
      <w:pPr>
        <w:pStyle w:val="Brdtekst"/>
        <w:jc w:val="both"/>
      </w:pPr>
    </w:p>
    <w:p w14:paraId="4E697D49" w14:textId="5FFECCD1" w:rsidR="00060656" w:rsidRDefault="008E047E" w:rsidP="00060656">
      <w:pPr>
        <w:pStyle w:val="Brdtekst"/>
        <w:jc w:val="both"/>
      </w:pPr>
      <w:r>
        <w:t>Hvis købet eller salget har retsvirkninger senest 9. marts 2020</w:t>
      </w:r>
      <w:r w:rsidR="009D5B40">
        <w:t>,</w:t>
      </w:r>
      <w:r>
        <w:t xml:space="preserve"> skal kompensationen henføres til den virksomhed som kontrollerede aktiviteten den 9. marts 2020.  Den kompensation, som virksomheden vil kunne opnå</w:t>
      </w:r>
      <w:r w:rsidR="00060656">
        <w:t>,</w:t>
      </w:r>
      <w:r>
        <w:t xml:space="preserve"> </w:t>
      </w:r>
      <w:r w:rsidR="00060656">
        <w:t>skal svare til den kompensation, som virksomheden ville have modtaget, hvis salget/købet havde fundet sted inden begyndelsen af referenceperioden for omsætningen og inden opgørelsen af de realiserede omkostninger for perioden 1. december 2019 – 29. februar 2020</w:t>
      </w:r>
      <w:r w:rsidR="00060656">
        <w:rPr>
          <w:rStyle w:val="Fodnotehenvisning"/>
        </w:rPr>
        <w:footnoteReference w:id="8"/>
      </w:r>
      <w:r w:rsidR="00060656">
        <w:t>. Det skal tilføjes, at proforma-aftaler som har til hensigt at øge kompensationen vil være i strid med bestemmelserne.</w:t>
      </w:r>
    </w:p>
    <w:p w14:paraId="0B9B4EC8" w14:textId="7788992E" w:rsidR="009D5B40" w:rsidRDefault="009D5B40" w:rsidP="00B00D58">
      <w:pPr>
        <w:pStyle w:val="Brdtekst"/>
        <w:jc w:val="both"/>
      </w:pPr>
    </w:p>
    <w:p w14:paraId="400ACD73" w14:textId="545023F4" w:rsidR="009D5B40" w:rsidRDefault="009D5B40" w:rsidP="00B00D58">
      <w:pPr>
        <w:pStyle w:val="Brdtekst"/>
        <w:jc w:val="both"/>
      </w:pPr>
      <w:r>
        <w:t xml:space="preserve">Hvis købet eller salget først har retsvirkninger </w:t>
      </w:r>
      <w:r w:rsidR="00060656">
        <w:t>i perioden efter den 9. marts 2020 og indtil den 8. juli 2020</w:t>
      </w:r>
      <w:r w:rsidR="00060656" w:rsidRPr="00060656">
        <w:t xml:space="preserve">, </w:t>
      </w:r>
      <w:r w:rsidR="0048220D">
        <w:t xml:space="preserve">vil det være den købende virksomhed, der kan søge om støtte. Udgangspunktet må i denne situation være, at den købende virksomhed alene kan ansøge om støtte for den periode, hvor køberen har ejet de aktiviteter, der søges om støtte for. </w:t>
      </w:r>
      <w:r w:rsidR="00F05462">
        <w:t xml:space="preserve">Dette udgangspunkt vil dog kunne fraviges, hvor det kan godtgøres, at salgsprisen ikke tager højde for de tab, som den solgte aktivitet mv. har lidt under COVID-19-udbruddet. I en sådan situation vil den købende virksomhed også kunne kompenseres for tab i den del af kompensationsperioden, hvor den købende virksomhed ikke ejede de pågældende aktiviteter. </w:t>
      </w:r>
    </w:p>
    <w:p w14:paraId="2504EC97" w14:textId="48F5296F" w:rsidR="00F05462" w:rsidRDefault="00F05462" w:rsidP="00B00D58">
      <w:pPr>
        <w:pStyle w:val="Brdtekst"/>
        <w:jc w:val="both"/>
      </w:pPr>
    </w:p>
    <w:p w14:paraId="0043533B" w14:textId="356AC1C3" w:rsidR="00F05462" w:rsidRDefault="00F05462" w:rsidP="00B00D58">
      <w:pPr>
        <w:pStyle w:val="Brdtekst"/>
        <w:jc w:val="both"/>
      </w:pPr>
      <w:r>
        <w:t xml:space="preserve">Medmindre aftalen om overdragelse af aktiviteterne blev indgået før COVID-19-udbruddet for alvor påvirkede Danmark, </w:t>
      </w:r>
      <w:r w:rsidR="0033579C">
        <w:t xml:space="preserve">bør dokumentationskravene til den købende virksomhed i relation til at godtgøre, at salgsprisen ikke tager højde for de tab, som aktiviteterne har realiseret under COVID-19, være ganske høje, da det må forventes, at en rationel køber og sælger, der agerer på markedsvilkår, har taget højde for den daværende situation i overdragelsesaftalen. </w:t>
      </w:r>
    </w:p>
    <w:p w14:paraId="5B982F3A" w14:textId="7858B8A8" w:rsidR="0033579C" w:rsidRDefault="0033579C" w:rsidP="00B00D58">
      <w:pPr>
        <w:pStyle w:val="Brdtekst"/>
        <w:jc w:val="both"/>
      </w:pPr>
    </w:p>
    <w:p w14:paraId="7EB0F725" w14:textId="7007A26A" w:rsidR="0033579C" w:rsidRDefault="0033579C" w:rsidP="00B00D58">
      <w:pPr>
        <w:pStyle w:val="Brdtekst"/>
        <w:jc w:val="both"/>
      </w:pPr>
      <w:r>
        <w:lastRenderedPageBreak/>
        <w:t xml:space="preserve">Det er den købende (og dermed ansøgende) virksomhed, der skal løfte bevisbyrde for, at tabet ikke er dækket på anden vis. </w:t>
      </w:r>
    </w:p>
    <w:p w14:paraId="456225E7" w14:textId="110A27BC" w:rsidR="008E047E" w:rsidRDefault="008E047E" w:rsidP="00B00D58">
      <w:pPr>
        <w:pStyle w:val="Brdtekst"/>
        <w:jc w:val="both"/>
      </w:pPr>
    </w:p>
    <w:p w14:paraId="056222C4" w14:textId="4299455F" w:rsidR="008E047E" w:rsidRDefault="008E047E" w:rsidP="008E047E">
      <w:pPr>
        <w:pStyle w:val="Brdtekst"/>
        <w:jc w:val="both"/>
      </w:pPr>
      <w:r>
        <w:t xml:space="preserve">Til illustration af princippet er der i nedenstående eksempel benyttet en virksomhed, som opkøber hoteller. Forholdet er dog gældende for mange brancher. </w:t>
      </w:r>
    </w:p>
    <w:p w14:paraId="4DA31B7B" w14:textId="67D949B7" w:rsidR="008E047E" w:rsidRDefault="008E047E" w:rsidP="00B00D58">
      <w:pPr>
        <w:pStyle w:val="Brdtekst"/>
        <w:jc w:val="both"/>
      </w:pPr>
    </w:p>
    <w:p w14:paraId="644F38E4" w14:textId="77777777" w:rsidR="008E047E" w:rsidRDefault="008E047E" w:rsidP="008E047E">
      <w:pPr>
        <w:pStyle w:val="Brdtekst"/>
        <w:jc w:val="both"/>
      </w:pPr>
      <w:r>
        <w:t>Eksempler på effekt af princippet:</w:t>
      </w:r>
    </w:p>
    <w:p w14:paraId="15EDF150" w14:textId="77777777" w:rsidR="008E047E" w:rsidRDefault="008E047E" w:rsidP="00B00D58">
      <w:pPr>
        <w:pStyle w:val="Brdtekst"/>
        <w:jc w:val="both"/>
      </w:pPr>
    </w:p>
    <w:p w14:paraId="6519E673" w14:textId="45382AD7" w:rsidR="00B00D58" w:rsidRDefault="00B00D58" w:rsidP="008E047E">
      <w:pPr>
        <w:pStyle w:val="Brdtekst"/>
        <w:ind w:left="567"/>
        <w:jc w:val="both"/>
      </w:pPr>
      <w:r>
        <w:t xml:space="preserve">Hvis virksomheden </w:t>
      </w:r>
      <w:r w:rsidR="000B4EC7" w:rsidRPr="00FE1570">
        <w:t>i kompensationsperioden</w:t>
      </w:r>
      <w:r w:rsidR="000B4EC7">
        <w:t xml:space="preserve"> </w:t>
      </w:r>
      <w:r>
        <w:t xml:space="preserve">foretager et køb af aktiviteter </w:t>
      </w:r>
      <w:proofErr w:type="gramStart"/>
      <w:r>
        <w:t>eksempelvis</w:t>
      </w:r>
      <w:proofErr w:type="gramEnd"/>
      <w:r>
        <w:t xml:space="preserve"> et hotel (driften af et hotel) fra en uafhængig virksomhed (dvs. en virksomhed uden for koncernen), så </w:t>
      </w:r>
      <w:r w:rsidR="00F05462">
        <w:t xml:space="preserve">kan </w:t>
      </w:r>
      <w:r>
        <w:t xml:space="preserve">den købende virksomhed </w:t>
      </w:r>
      <w:r w:rsidR="000B4EC7" w:rsidRPr="00FE1570">
        <w:t>alene få støtte for hele kompensationsperioden</w:t>
      </w:r>
      <w:r w:rsidR="0033579C">
        <w:t>, hvis den købende virksomhed kan dokumentere, at det tab</w:t>
      </w:r>
      <w:r w:rsidR="00D43F36">
        <w:t>,</w:t>
      </w:r>
      <w:r w:rsidR="0033579C">
        <w:t xml:space="preserve"> de overtagne aktiviteter har generet under COVID-19-udbruddet, ikke er godtgjort i salgsprisen for aktiviteterne</w:t>
      </w:r>
      <w:r>
        <w:t>. Kan den købende virksomhed</w:t>
      </w:r>
      <w:r w:rsidR="0033579C">
        <w:t xml:space="preserve"> dokumentere dette og samtidig</w:t>
      </w:r>
      <w:r>
        <w:t xml:space="preserve"> påvise en omsætningsnedgang fra referenceperioden til kompensationsperioden, så vil den være berettiget til kompensation, selvom den ikke har ejet den tilkøbte aktivitet i referenceperioden eller i dele af kompensationsperioden.</w:t>
      </w:r>
    </w:p>
    <w:p w14:paraId="2DAABF6B" w14:textId="77777777" w:rsidR="00B00D58" w:rsidRDefault="00B00D58" w:rsidP="00B00D58">
      <w:pPr>
        <w:pStyle w:val="Brdtekst"/>
        <w:jc w:val="both"/>
      </w:pPr>
    </w:p>
    <w:p w14:paraId="0A7E2618" w14:textId="78C52CBD" w:rsidR="00B00D58" w:rsidRDefault="00B00D58" w:rsidP="008E047E">
      <w:pPr>
        <w:pStyle w:val="Brdtekst"/>
        <w:ind w:left="567"/>
        <w:jc w:val="both"/>
      </w:pPr>
      <w:r>
        <w:t xml:space="preserve">Dette modsvares af, at sælgeren </w:t>
      </w:r>
      <w:r w:rsidRPr="003254FC">
        <w:rPr>
          <w:u w:val="single"/>
        </w:rPr>
        <w:t>ikke</w:t>
      </w:r>
      <w:r>
        <w:t xml:space="preserve"> vil modtage kompensation for den solgte aktivitet i kompensationsperioden, selvom sælgeren har ejet den solgte aktivitet i en del af kompensationsperioden.</w:t>
      </w:r>
    </w:p>
    <w:p w14:paraId="3E509296" w14:textId="77777777" w:rsidR="00B00D58" w:rsidRDefault="00B00D58" w:rsidP="00B00D58">
      <w:pPr>
        <w:pStyle w:val="Brdtekst"/>
        <w:jc w:val="both"/>
      </w:pPr>
    </w:p>
    <w:p w14:paraId="34146C92" w14:textId="77777777" w:rsidR="00B00D58" w:rsidRDefault="00B00D58" w:rsidP="00B00D58">
      <w:pPr>
        <w:pStyle w:val="Brdtekst"/>
        <w:jc w:val="both"/>
      </w:pPr>
      <w:r>
        <w:t>Ved køb af en aktivitet fra en ekstern virksomhed (uden for koncernen) skal de overtagne aktiver og forpligtelser indregnes til dagsværdier. Dette sidestiller et køb af en aktivitet med køb af enkelt aktiver. Afskrivningen skal i den købende virksomhed foretages i henhold til køberens fastlagte regnskabspraksis for tilsvarende aktiver. Er der tale om køb af en ny aktivklasse, skal den købende virksomhed udarbejde en regnskabspraksis for afskrivning i henhold til årsregnskabsloven.</w:t>
      </w:r>
    </w:p>
    <w:p w14:paraId="4DF50C69" w14:textId="77777777" w:rsidR="00E92F88" w:rsidRDefault="00E92F88" w:rsidP="003254FC">
      <w:pPr>
        <w:pStyle w:val="Brdtekst"/>
        <w:jc w:val="both"/>
      </w:pPr>
      <w:bookmarkStart w:id="5" w:name="PCAstart"/>
      <w:bookmarkEnd w:id="5"/>
    </w:p>
    <w:p w14:paraId="4CE9F222" w14:textId="77777777" w:rsidR="00337FE8" w:rsidRDefault="00337FE8" w:rsidP="003254FC">
      <w:pPr>
        <w:pStyle w:val="Brdtekst"/>
        <w:jc w:val="both"/>
        <w:rPr>
          <w:b/>
          <w:bCs/>
        </w:rPr>
      </w:pPr>
      <w:r w:rsidRPr="00337FE8">
        <w:rPr>
          <w:b/>
          <w:bCs/>
        </w:rPr>
        <w:t>Benyttelse af principperne i konkrete situationer</w:t>
      </w:r>
      <w:r>
        <w:rPr>
          <w:b/>
          <w:bCs/>
        </w:rPr>
        <w:t>:</w:t>
      </w:r>
    </w:p>
    <w:p w14:paraId="45FAE1F6" w14:textId="77777777" w:rsidR="00337FE8" w:rsidRDefault="00337FE8" w:rsidP="003254FC">
      <w:pPr>
        <w:pStyle w:val="Brdtekst"/>
        <w:jc w:val="both"/>
        <w:rPr>
          <w:b/>
          <w:bCs/>
        </w:rPr>
      </w:pPr>
    </w:p>
    <w:p w14:paraId="44BB6B84" w14:textId="77777777" w:rsidR="00465363" w:rsidRPr="00465363" w:rsidRDefault="00465363" w:rsidP="003254FC">
      <w:pPr>
        <w:pStyle w:val="Brdtekst"/>
        <w:jc w:val="both"/>
        <w:rPr>
          <w:b/>
          <w:bCs/>
          <w:i/>
          <w:iCs/>
        </w:rPr>
      </w:pPr>
      <w:r w:rsidRPr="00465363">
        <w:rPr>
          <w:b/>
          <w:bCs/>
          <w:i/>
          <w:iCs/>
        </w:rPr>
        <w:t xml:space="preserve">Koncern-interne transaktioner </w:t>
      </w:r>
      <w:r w:rsidR="00993CFC">
        <w:rPr>
          <w:b/>
          <w:bCs/>
          <w:i/>
          <w:iCs/>
        </w:rPr>
        <w:t xml:space="preserve">efter den 1. april 2019 </w:t>
      </w:r>
      <w:r w:rsidRPr="00465363">
        <w:rPr>
          <w:b/>
          <w:bCs/>
          <w:i/>
          <w:iCs/>
        </w:rPr>
        <w:t>med retsvirkning senest den 9. marts 2020</w:t>
      </w:r>
    </w:p>
    <w:p w14:paraId="651875ED" w14:textId="77777777" w:rsidR="00465363" w:rsidRDefault="00465363" w:rsidP="003254FC">
      <w:pPr>
        <w:pStyle w:val="Brdtekst"/>
        <w:jc w:val="both"/>
        <w:rPr>
          <w:b/>
          <w:bCs/>
        </w:rPr>
      </w:pPr>
    </w:p>
    <w:p w14:paraId="62F7E2FF" w14:textId="77777777" w:rsidR="00185967" w:rsidRDefault="00465363" w:rsidP="00D338F5">
      <w:pPr>
        <w:pStyle w:val="Brdtekst"/>
        <w:jc w:val="both"/>
        <w:rPr>
          <w:i/>
          <w:iCs/>
        </w:rPr>
      </w:pPr>
      <w:r w:rsidRPr="00465363">
        <w:rPr>
          <w:i/>
          <w:iCs/>
        </w:rPr>
        <w:t>Køb/salg af aktivitet</w:t>
      </w:r>
    </w:p>
    <w:p w14:paraId="0F824619" w14:textId="177E4A5F" w:rsidR="00D338F5" w:rsidRDefault="00D338F5" w:rsidP="00D338F5">
      <w:pPr>
        <w:pStyle w:val="Brdtekst"/>
        <w:jc w:val="both"/>
      </w:pPr>
      <w:r w:rsidRPr="00FE1570">
        <w:rPr>
          <w:i/>
          <w:iCs/>
        </w:rPr>
        <w:t>Måling af aktiver/forpligtelser:</w:t>
      </w:r>
      <w:r>
        <w:rPr>
          <w:b/>
          <w:bCs/>
        </w:rPr>
        <w:t xml:space="preserve"> </w:t>
      </w:r>
      <w:r>
        <w:t xml:space="preserve">For interne omstruktureringer (transaktioner under samme parts bestemmende indflydelse) foretaget </w:t>
      </w:r>
      <w:r w:rsidRPr="003254FC">
        <w:rPr>
          <w:u w:val="single"/>
        </w:rPr>
        <w:t>efter begyndelsen af referenceperioden</w:t>
      </w:r>
      <w:r>
        <w:t xml:space="preserve"> anvendes sammenlægningsmetoden, dvs. at aktiver og forpligtelser anses overført til de bogførte værdier i den sælgende virksomhed på overtagelsesdatoen.</w:t>
      </w:r>
      <w:r>
        <w:rPr>
          <w:rStyle w:val="Fodnotehenvisning"/>
        </w:rPr>
        <w:footnoteReference w:id="9"/>
      </w:r>
      <w:r>
        <w:t xml:space="preserve"> Afskrivningsberettigede aktiver afskrives i henhold til den fastlagte metode i den oprindelige virksomhed (den virksomhed som havde aktiver/forpligtelser inden omstruktureringen).</w:t>
      </w:r>
    </w:p>
    <w:p w14:paraId="13C7F76A" w14:textId="77777777" w:rsidR="00D338F5" w:rsidRDefault="00D338F5" w:rsidP="00D338F5">
      <w:pPr>
        <w:pStyle w:val="Brdtekst"/>
        <w:jc w:val="both"/>
      </w:pPr>
    </w:p>
    <w:p w14:paraId="796B582C" w14:textId="77777777" w:rsidR="00D338F5" w:rsidRDefault="00D338F5" w:rsidP="00D338F5">
      <w:pPr>
        <w:pStyle w:val="Brdtekst"/>
        <w:jc w:val="both"/>
      </w:pPr>
      <w:r>
        <w:lastRenderedPageBreak/>
        <w:t>Dette uanset hvilken metode som er anvendt for virksomhedssammenslutningen i årsregnskabet.</w:t>
      </w:r>
    </w:p>
    <w:p w14:paraId="2F9005FE" w14:textId="77777777" w:rsidR="00D338F5" w:rsidRDefault="00D338F5" w:rsidP="00465363">
      <w:pPr>
        <w:pStyle w:val="Brdtekst"/>
        <w:jc w:val="both"/>
        <w:rPr>
          <w:i/>
          <w:iCs/>
        </w:rPr>
      </w:pPr>
    </w:p>
    <w:p w14:paraId="65BA911D" w14:textId="01A845F2" w:rsidR="00465363" w:rsidRDefault="00465363" w:rsidP="00465363">
      <w:pPr>
        <w:pStyle w:val="Brdtekst"/>
        <w:jc w:val="both"/>
      </w:pPr>
      <w:r w:rsidRPr="003254FC">
        <w:rPr>
          <w:i/>
          <w:iCs/>
        </w:rPr>
        <w:t>Omsætning:</w:t>
      </w:r>
      <w:r>
        <w:t xml:space="preserve"> Omsætningen for den købende virksomhed for referenceperioden opgøres som om den overdragne aktivitet var overdraget inden begyndelsen af referenceperioden. Omsætningen medtages tillige i kompensationsperioden.</w:t>
      </w:r>
    </w:p>
    <w:p w14:paraId="415DEA2A" w14:textId="77777777" w:rsidR="00465363" w:rsidRDefault="00465363" w:rsidP="00465363">
      <w:pPr>
        <w:pStyle w:val="Brdtekst"/>
        <w:jc w:val="both"/>
      </w:pPr>
    </w:p>
    <w:p w14:paraId="4AED24EC" w14:textId="69140ECA" w:rsidR="00465363" w:rsidRDefault="00465363" w:rsidP="00465363">
      <w:pPr>
        <w:pStyle w:val="Brdtekst"/>
        <w:jc w:val="both"/>
      </w:pPr>
      <w:r>
        <w:t>Omsætningen for den sælgende virksomhed opgøres som om, aktiviteten var overdraget inden begyndelsen af referenceperioden. Dvs. omsætningen for referenceperioden vedrørende den overdragne aktivitet medtages alene i den modtag</w:t>
      </w:r>
      <w:r w:rsidR="0018724F">
        <w:t>ende</w:t>
      </w:r>
      <w:r>
        <w:t xml:space="preserve"> virksomhed. Den sælgende virksomhed medtager heller ikke omsætning i kompensationsperioden.</w:t>
      </w:r>
    </w:p>
    <w:p w14:paraId="06AE5F82" w14:textId="77777777" w:rsidR="00465363" w:rsidRDefault="00465363" w:rsidP="00465363">
      <w:pPr>
        <w:pStyle w:val="Brdtekst"/>
        <w:jc w:val="both"/>
      </w:pPr>
    </w:p>
    <w:p w14:paraId="6A92B5AC" w14:textId="27289B6D" w:rsidR="00465363" w:rsidRDefault="00465363" w:rsidP="00465363">
      <w:pPr>
        <w:pStyle w:val="Brdtekst"/>
        <w:jc w:val="both"/>
      </w:pPr>
      <w:r w:rsidRPr="003254FC">
        <w:rPr>
          <w:i/>
          <w:iCs/>
        </w:rPr>
        <w:t>Omkostninger:</w:t>
      </w:r>
      <w:r>
        <w:t xml:space="preserve"> De realiserede omkostninger for den </w:t>
      </w:r>
      <w:r w:rsidR="006B03BA">
        <w:t>købende</w:t>
      </w:r>
      <w:r>
        <w:t xml:space="preserve"> virksomhed for perioden 1. december 2019 til 29. februar 2020 opgøres som om, aktiviteten var overdraget inden den 1. december 2019. Omkostningerne medtages også for kompensationsperioden. </w:t>
      </w:r>
    </w:p>
    <w:p w14:paraId="19507136" w14:textId="77777777" w:rsidR="00465363" w:rsidRDefault="00465363" w:rsidP="00465363">
      <w:pPr>
        <w:pStyle w:val="Brdtekst"/>
        <w:jc w:val="both"/>
      </w:pPr>
    </w:p>
    <w:p w14:paraId="3E13E368" w14:textId="77777777" w:rsidR="00465363" w:rsidRDefault="00465363" w:rsidP="00465363">
      <w:pPr>
        <w:pStyle w:val="Brdtekst"/>
        <w:jc w:val="both"/>
      </w:pPr>
      <w:r>
        <w:t>Den sælgende virksomhed medtager ikke realiserede omkostninger for perioden 1. december – 29. februar 2020 vedrørende den overdragne aktivitet. Det tilsvarende gør sig gældende for kompensationsperioden.</w:t>
      </w:r>
    </w:p>
    <w:p w14:paraId="1C07EEDD" w14:textId="77777777" w:rsidR="00465363" w:rsidRDefault="00465363" w:rsidP="003254FC">
      <w:pPr>
        <w:pStyle w:val="Brdtekst"/>
        <w:jc w:val="both"/>
        <w:rPr>
          <w:b/>
          <w:bCs/>
        </w:rPr>
      </w:pPr>
    </w:p>
    <w:p w14:paraId="77636534" w14:textId="77777777" w:rsidR="006B03BA" w:rsidRPr="006B03BA" w:rsidRDefault="006B03BA" w:rsidP="003254FC">
      <w:pPr>
        <w:pStyle w:val="Brdtekst"/>
        <w:jc w:val="both"/>
      </w:pPr>
      <w:r>
        <w:t>Det er således alene den købende virksomhed som ansøger om kompensation for den overdragne aktivitet.</w:t>
      </w:r>
    </w:p>
    <w:p w14:paraId="3B2E82B0" w14:textId="77777777" w:rsidR="00465363" w:rsidRDefault="00465363" w:rsidP="003254FC">
      <w:pPr>
        <w:pStyle w:val="Brdtekst"/>
        <w:jc w:val="both"/>
        <w:rPr>
          <w:b/>
          <w:bCs/>
        </w:rPr>
      </w:pPr>
    </w:p>
    <w:p w14:paraId="02586B17" w14:textId="77777777" w:rsidR="00465363" w:rsidRPr="006B03BA" w:rsidRDefault="006B03BA" w:rsidP="003254FC">
      <w:pPr>
        <w:pStyle w:val="Brdtekst"/>
        <w:jc w:val="both"/>
        <w:rPr>
          <w:i/>
          <w:iCs/>
        </w:rPr>
      </w:pPr>
      <w:bookmarkStart w:id="6" w:name="_Hlk38369405"/>
      <w:r w:rsidRPr="006B03BA">
        <w:rPr>
          <w:i/>
          <w:iCs/>
        </w:rPr>
        <w:t>Fusion</w:t>
      </w:r>
    </w:p>
    <w:p w14:paraId="1510F9F8" w14:textId="5BDF5FDD" w:rsidR="006B03BA" w:rsidRPr="006B03BA" w:rsidRDefault="006B03BA" w:rsidP="003254FC">
      <w:pPr>
        <w:pStyle w:val="Brdtekst"/>
        <w:jc w:val="both"/>
      </w:pPr>
      <w:r>
        <w:t>Den fortsættende virksomhed anses for den købende virksomhed, og den ansøger om kompensation for den fusionerede virksomhed. Omsætning og omkostninger opgøres som</w:t>
      </w:r>
      <w:r w:rsidR="00E9522A">
        <w:t xml:space="preserve"> om</w:t>
      </w:r>
      <w:r>
        <w:t xml:space="preserve">, fusionen havde været gennemført inden opgørelsen af referenceperioden, og de realiserede omkostninger for perioden 1. december 2019 til 29. februar 2020 opgøres ligeledes for den fusionerede virksomhed, som om fusionen havde været gennemført før den 1. december 2019. </w:t>
      </w:r>
    </w:p>
    <w:p w14:paraId="475263CE" w14:textId="77777777" w:rsidR="006B03BA" w:rsidRDefault="006B03BA" w:rsidP="003254FC">
      <w:pPr>
        <w:pStyle w:val="Brdtekst"/>
        <w:jc w:val="both"/>
        <w:rPr>
          <w:b/>
          <w:bCs/>
        </w:rPr>
      </w:pPr>
    </w:p>
    <w:p w14:paraId="3ECBB5F8" w14:textId="77777777" w:rsidR="006B03BA" w:rsidRPr="006B03BA" w:rsidRDefault="006B03BA" w:rsidP="003254FC">
      <w:pPr>
        <w:pStyle w:val="Brdtekst"/>
        <w:jc w:val="both"/>
      </w:pPr>
      <w:r>
        <w:t xml:space="preserve">Hvis </w:t>
      </w:r>
      <w:r w:rsidR="007814EA">
        <w:t xml:space="preserve">alle </w:t>
      </w:r>
      <w:r>
        <w:t xml:space="preserve">de </w:t>
      </w:r>
      <w:r w:rsidR="008266EE">
        <w:t xml:space="preserve">eksisterende </w:t>
      </w:r>
      <w:r>
        <w:t xml:space="preserve">virksomheder ophørte </w:t>
      </w:r>
      <w:r w:rsidR="007814EA">
        <w:t>ved</w:t>
      </w:r>
      <w:r>
        <w:t xml:space="preserve"> fusionen</w:t>
      </w:r>
      <w:r w:rsidR="006C4126">
        <w:t>,</w:t>
      </w:r>
      <w:r>
        <w:t xml:space="preserve"> anses den nye virksomhed som den fortsættende</w:t>
      </w:r>
      <w:r w:rsidR="006C4126">
        <w:t>,</w:t>
      </w:r>
      <w:r>
        <w:t xml:space="preserve"> og opgørelse følger det anførte i ovenstående afsnit.</w:t>
      </w:r>
    </w:p>
    <w:p w14:paraId="2810C6A8" w14:textId="77777777" w:rsidR="006B03BA" w:rsidRDefault="006B03BA" w:rsidP="003254FC">
      <w:pPr>
        <w:pStyle w:val="Brdtekst"/>
        <w:jc w:val="both"/>
        <w:rPr>
          <w:b/>
          <w:bCs/>
        </w:rPr>
      </w:pPr>
    </w:p>
    <w:p w14:paraId="26A1F386" w14:textId="77777777" w:rsidR="006B03BA" w:rsidRPr="006B03BA" w:rsidRDefault="006B03BA" w:rsidP="003254FC">
      <w:pPr>
        <w:pStyle w:val="Brdtekst"/>
        <w:jc w:val="both"/>
        <w:rPr>
          <w:i/>
          <w:iCs/>
        </w:rPr>
      </w:pPr>
      <w:r w:rsidRPr="006B03BA">
        <w:rPr>
          <w:i/>
          <w:iCs/>
        </w:rPr>
        <w:t>Spaltning</w:t>
      </w:r>
    </w:p>
    <w:p w14:paraId="2E082303" w14:textId="3DFEBF6C" w:rsidR="006B03BA" w:rsidRDefault="006B32C6" w:rsidP="003254FC">
      <w:pPr>
        <w:pStyle w:val="Brdtekst"/>
        <w:jc w:val="both"/>
      </w:pPr>
      <w:r>
        <w:t xml:space="preserve">De </w:t>
      </w:r>
      <w:r w:rsidR="008266EE">
        <w:t>modtagende</w:t>
      </w:r>
      <w:r>
        <w:t xml:space="preserve"> virksomheder opgør omsætning og omkostninger for referenceperiode</w:t>
      </w:r>
      <w:r w:rsidR="00EC2056">
        <w:t>n</w:t>
      </w:r>
      <w:r>
        <w:t xml:space="preserve"> og perioden for de realiserede omkostninger, som om de havde modtaget aktiviteterne inden begyndelsen </w:t>
      </w:r>
      <w:r w:rsidR="00E9522A">
        <w:t xml:space="preserve">af </w:t>
      </w:r>
      <w:r>
        <w:t xml:space="preserve">referenceperioden og perioden for de realiserede omkostninger. </w:t>
      </w:r>
    </w:p>
    <w:p w14:paraId="093400EF" w14:textId="77777777" w:rsidR="006B32C6" w:rsidRDefault="006B32C6" w:rsidP="003254FC">
      <w:pPr>
        <w:pStyle w:val="Brdtekst"/>
        <w:jc w:val="both"/>
      </w:pPr>
    </w:p>
    <w:p w14:paraId="2B14984F" w14:textId="7102610E" w:rsidR="006B32C6" w:rsidRPr="006B32C6" w:rsidRDefault="000E3E17" w:rsidP="003254FC">
      <w:pPr>
        <w:pStyle w:val="Brdtekst"/>
        <w:jc w:val="both"/>
      </w:pPr>
      <w:r>
        <w:t xml:space="preserve">Indskydende </w:t>
      </w:r>
      <w:r w:rsidR="006B32C6">
        <w:t>virksomhed</w:t>
      </w:r>
      <w:r>
        <w:t>er</w:t>
      </w:r>
      <w:r w:rsidR="006B32C6">
        <w:t xml:space="preserve"> opgør omsætning og omkostning</w:t>
      </w:r>
      <w:r w:rsidR="007814EA">
        <w:t>er</w:t>
      </w:r>
      <w:r w:rsidR="006B32C6">
        <w:t xml:space="preserve"> for referenceperioden og perioden for de realiserede omkostninger, som om de havde afgivet aktiviteterne inden begyndelsen af referenceperioden og perioden for de realiserede omkostninger.</w:t>
      </w:r>
    </w:p>
    <w:p w14:paraId="5023CD1D" w14:textId="77777777" w:rsidR="006B03BA" w:rsidRDefault="006B03BA" w:rsidP="003254FC">
      <w:pPr>
        <w:pStyle w:val="Brdtekst"/>
        <w:jc w:val="both"/>
        <w:rPr>
          <w:b/>
          <w:bCs/>
        </w:rPr>
      </w:pPr>
    </w:p>
    <w:p w14:paraId="0880B724" w14:textId="77777777" w:rsidR="006B03BA" w:rsidRPr="006B32C6" w:rsidRDefault="000E3E17" w:rsidP="003254FC">
      <w:pPr>
        <w:pStyle w:val="Brdtekst"/>
        <w:jc w:val="both"/>
      </w:pPr>
      <w:r>
        <w:lastRenderedPageBreak/>
        <w:t>Ophører en virksomhed som følge af spaltningen</w:t>
      </w:r>
      <w:r w:rsidR="006B32C6">
        <w:t>, så ansøger den ikke om kompensation.</w:t>
      </w:r>
    </w:p>
    <w:bookmarkEnd w:id="6"/>
    <w:p w14:paraId="4CFE9F3E" w14:textId="77777777" w:rsidR="006B32C6" w:rsidRDefault="006B32C6" w:rsidP="003254FC">
      <w:pPr>
        <w:pStyle w:val="Brdtekst"/>
        <w:jc w:val="both"/>
        <w:rPr>
          <w:b/>
          <w:bCs/>
        </w:rPr>
      </w:pPr>
    </w:p>
    <w:p w14:paraId="5F2FEC15" w14:textId="77777777" w:rsidR="006B32C6" w:rsidRPr="006B32C6" w:rsidRDefault="006B32C6" w:rsidP="003254FC">
      <w:pPr>
        <w:pStyle w:val="Brdtekst"/>
        <w:jc w:val="both"/>
        <w:rPr>
          <w:i/>
          <w:iCs/>
        </w:rPr>
      </w:pPr>
      <w:bookmarkStart w:id="7" w:name="_Hlk38370378"/>
      <w:r w:rsidRPr="006B32C6">
        <w:rPr>
          <w:i/>
          <w:iCs/>
        </w:rPr>
        <w:t>Måling af overdragne aktiver og forpligtelser</w:t>
      </w:r>
    </w:p>
    <w:p w14:paraId="4C80C44F" w14:textId="77777777" w:rsidR="00220AD2" w:rsidRDefault="00DB45C0" w:rsidP="00220AD2">
      <w:pPr>
        <w:pStyle w:val="Brdtekst"/>
        <w:jc w:val="both"/>
      </w:pPr>
      <w:r>
        <w:t xml:space="preserve">Virksomheden skal benytte sammenlægningsmetoden efter årsregnskabslovens § 123, dvs. aktiver og forpligtelser skal indgå med samme værdi, som de havde i den sælgende virksomhed på retsvirkningstidspunktet. De overdragne aktiver skal </w:t>
      </w:r>
      <w:proofErr w:type="gramStart"/>
      <w:r>
        <w:t>endvidere</w:t>
      </w:r>
      <w:proofErr w:type="gramEnd"/>
      <w:r>
        <w:t xml:space="preserve"> afskrives efter samme principper, som var gældende i den sælgende virksomhed.</w:t>
      </w:r>
    </w:p>
    <w:bookmarkEnd w:id="7"/>
    <w:p w14:paraId="02F7ED02" w14:textId="77777777" w:rsidR="00220AD2" w:rsidRDefault="00220AD2" w:rsidP="003254FC">
      <w:pPr>
        <w:pStyle w:val="Brdtekst"/>
        <w:jc w:val="both"/>
      </w:pPr>
    </w:p>
    <w:p w14:paraId="7C4C2530" w14:textId="77777777" w:rsidR="00DB45C0" w:rsidRPr="00465363" w:rsidRDefault="00DB45C0" w:rsidP="00DB45C0">
      <w:pPr>
        <w:pStyle w:val="Brdtekst"/>
        <w:jc w:val="both"/>
        <w:rPr>
          <w:b/>
          <w:bCs/>
          <w:i/>
          <w:iCs/>
        </w:rPr>
      </w:pPr>
      <w:r w:rsidRPr="00465363">
        <w:rPr>
          <w:b/>
          <w:bCs/>
          <w:i/>
          <w:iCs/>
        </w:rPr>
        <w:t xml:space="preserve">Koncern-interne transaktioner med retsvirkning </w:t>
      </w:r>
      <w:r w:rsidR="009A0126">
        <w:rPr>
          <w:b/>
          <w:bCs/>
          <w:i/>
          <w:iCs/>
        </w:rPr>
        <w:t>efter</w:t>
      </w:r>
      <w:r w:rsidRPr="00465363">
        <w:rPr>
          <w:b/>
          <w:bCs/>
          <w:i/>
          <w:iCs/>
        </w:rPr>
        <w:t xml:space="preserve"> den 9. marts 2020</w:t>
      </w:r>
    </w:p>
    <w:p w14:paraId="103B9CE0" w14:textId="77777777" w:rsidR="00DB45C0" w:rsidRDefault="00DB45C0" w:rsidP="00DB45C0">
      <w:pPr>
        <w:pStyle w:val="Brdtekst"/>
        <w:jc w:val="both"/>
        <w:rPr>
          <w:b/>
          <w:bCs/>
        </w:rPr>
      </w:pPr>
    </w:p>
    <w:p w14:paraId="59FE0049" w14:textId="77777777" w:rsidR="00DB45C0" w:rsidRPr="00465363" w:rsidRDefault="00DB45C0" w:rsidP="00DB45C0">
      <w:pPr>
        <w:pStyle w:val="Brdtekst"/>
        <w:jc w:val="both"/>
        <w:rPr>
          <w:i/>
          <w:iCs/>
        </w:rPr>
      </w:pPr>
      <w:r w:rsidRPr="00465363">
        <w:rPr>
          <w:i/>
          <w:iCs/>
        </w:rPr>
        <w:t>Køb/salg af aktivitet</w:t>
      </w:r>
    </w:p>
    <w:p w14:paraId="2A56CF84" w14:textId="27665EAF" w:rsidR="00DB45C0" w:rsidRDefault="00DB45C0" w:rsidP="00DB45C0">
      <w:pPr>
        <w:pStyle w:val="Brdtekst"/>
        <w:jc w:val="both"/>
      </w:pPr>
      <w:r w:rsidRPr="003254FC">
        <w:rPr>
          <w:i/>
          <w:iCs/>
        </w:rPr>
        <w:t>Omsætning:</w:t>
      </w:r>
      <w:r>
        <w:t xml:space="preserve"> Omsætningen for den sælgende virksomhed opgøres som om,</w:t>
      </w:r>
      <w:r w:rsidR="00E9522A">
        <w:t xml:space="preserve"> </w:t>
      </w:r>
      <w:r>
        <w:t xml:space="preserve">overdragelsen ikke har fundet sted. Dvs. at omsætningen for referenceperioden medtages for den sælgende virksomhed som </w:t>
      </w:r>
      <w:r w:rsidR="000838FA">
        <w:t>om, aktiviteten</w:t>
      </w:r>
      <w:r>
        <w:t xml:space="preserve"> ikke var solgt. Omsætningen medtages </w:t>
      </w:r>
      <w:proofErr w:type="gramStart"/>
      <w:r>
        <w:t>endvidere</w:t>
      </w:r>
      <w:proofErr w:type="gramEnd"/>
      <w:r>
        <w:t xml:space="preserve"> i kompensationsperioden</w:t>
      </w:r>
      <w:r w:rsidR="006614CA">
        <w:t xml:space="preserve"> for den sælgende virksomhed</w:t>
      </w:r>
      <w:r>
        <w:t>.</w:t>
      </w:r>
    </w:p>
    <w:p w14:paraId="5F63C9A1" w14:textId="77777777" w:rsidR="00DB45C0" w:rsidRDefault="00DB45C0" w:rsidP="00DB45C0">
      <w:pPr>
        <w:pStyle w:val="Brdtekst"/>
        <w:jc w:val="both"/>
      </w:pPr>
      <w:r>
        <w:t>Den købende virksomhed medtager ikke omsætning vedrørende den tilkøbte aktivitet i hverken referenceperioden eller kompensationsperioden.</w:t>
      </w:r>
    </w:p>
    <w:p w14:paraId="123B0314" w14:textId="77777777" w:rsidR="00DB45C0" w:rsidRDefault="00DB45C0" w:rsidP="00DB45C0">
      <w:pPr>
        <w:pStyle w:val="Brdtekst"/>
        <w:jc w:val="both"/>
      </w:pPr>
    </w:p>
    <w:p w14:paraId="7CF1C4B8" w14:textId="011CCCFB" w:rsidR="00DB45C0" w:rsidRDefault="00DB45C0" w:rsidP="00DB45C0">
      <w:pPr>
        <w:pStyle w:val="Brdtekst"/>
        <w:jc w:val="both"/>
      </w:pPr>
      <w:r w:rsidRPr="003254FC">
        <w:rPr>
          <w:i/>
          <w:iCs/>
        </w:rPr>
        <w:t>Omkostninger:</w:t>
      </w:r>
      <w:r>
        <w:t xml:space="preserve"> De realiserede omkostninger for den sælgende virksomhed opgøres som om, overdragelsen ikke havde fundet sted. Omkostningerne medtages både i perioden for de realiserede omkostninger og i kompensationsperioden.</w:t>
      </w:r>
    </w:p>
    <w:p w14:paraId="6214B85C" w14:textId="77777777" w:rsidR="00DB45C0" w:rsidRDefault="00DB45C0" w:rsidP="00DB45C0">
      <w:pPr>
        <w:pStyle w:val="Brdtekst"/>
        <w:jc w:val="both"/>
      </w:pPr>
    </w:p>
    <w:p w14:paraId="4FF18274" w14:textId="77777777" w:rsidR="00DB45C0" w:rsidRDefault="00DB45C0" w:rsidP="00DB45C0">
      <w:pPr>
        <w:pStyle w:val="Brdtekst"/>
        <w:jc w:val="both"/>
      </w:pPr>
      <w:r>
        <w:t>Den købende virksomhed medtager ikke omkostninger vedrørende den tilkøbte aktivitet i hverken perioden for de realiserede omkostninger eller i kompensationsperioden.</w:t>
      </w:r>
    </w:p>
    <w:p w14:paraId="7F267E98" w14:textId="77777777" w:rsidR="00DB45C0" w:rsidRDefault="00DB45C0" w:rsidP="003254FC">
      <w:pPr>
        <w:pStyle w:val="Brdtekst"/>
        <w:jc w:val="both"/>
      </w:pPr>
    </w:p>
    <w:p w14:paraId="02D380FD" w14:textId="77777777" w:rsidR="00DB45C0" w:rsidRPr="006B03BA" w:rsidRDefault="00DB45C0" w:rsidP="00DB45C0">
      <w:pPr>
        <w:pStyle w:val="Brdtekst"/>
        <w:jc w:val="both"/>
        <w:rPr>
          <w:i/>
          <w:iCs/>
        </w:rPr>
      </w:pPr>
      <w:r w:rsidRPr="006B03BA">
        <w:rPr>
          <w:i/>
          <w:iCs/>
        </w:rPr>
        <w:t>Fusion</w:t>
      </w:r>
    </w:p>
    <w:p w14:paraId="07080F74" w14:textId="38007EE0" w:rsidR="00DB45C0" w:rsidRDefault="00460858" w:rsidP="00DB45C0">
      <w:pPr>
        <w:pStyle w:val="Brdtekst"/>
        <w:jc w:val="both"/>
      </w:pPr>
      <w:r>
        <w:t xml:space="preserve">De to </w:t>
      </w:r>
      <w:r w:rsidR="00993CFC">
        <w:t xml:space="preserve">eller flere </w:t>
      </w:r>
      <w:r>
        <w:t>virksomheder skal fortsætte med at opgøre omsætning og omkostninger</w:t>
      </w:r>
      <w:r w:rsidR="00E9522A">
        <w:t>,</w:t>
      </w:r>
      <w:r>
        <w:t xml:space="preserve"> som om de var to separate virksomheder. </w:t>
      </w:r>
    </w:p>
    <w:p w14:paraId="5B4588B1" w14:textId="77777777" w:rsidR="00460858" w:rsidRDefault="00460858" w:rsidP="00DB45C0">
      <w:pPr>
        <w:pStyle w:val="Brdtekst"/>
        <w:jc w:val="both"/>
      </w:pPr>
    </w:p>
    <w:p w14:paraId="1599DDF0" w14:textId="48F057AE" w:rsidR="00460858" w:rsidRDefault="00460858" w:rsidP="00DB45C0">
      <w:pPr>
        <w:pStyle w:val="Brdtekst"/>
        <w:jc w:val="both"/>
      </w:pPr>
      <w:r>
        <w:t>Begge</w:t>
      </w:r>
      <w:r w:rsidR="00993CFC">
        <w:t>/alle</w:t>
      </w:r>
      <w:r>
        <w:t xml:space="preserve"> virksomheder ansøger om kompensation på baggrund af deres oprindelige aktiviteter</w:t>
      </w:r>
      <w:r w:rsidR="006614CA">
        <w:t xml:space="preserve"> som om</w:t>
      </w:r>
      <w:r w:rsidR="00E9522A">
        <w:t xml:space="preserve">, </w:t>
      </w:r>
      <w:r w:rsidR="006614CA">
        <w:t xml:space="preserve">fusionen ikke </w:t>
      </w:r>
      <w:r w:rsidR="007B0F7C">
        <w:t>havde</w:t>
      </w:r>
      <w:r w:rsidR="006614CA">
        <w:t xml:space="preserve"> fundet sted</w:t>
      </w:r>
      <w:r>
        <w:t>.</w:t>
      </w:r>
    </w:p>
    <w:p w14:paraId="4AE3FD1B" w14:textId="77777777" w:rsidR="00DB45C0" w:rsidRDefault="00DB45C0" w:rsidP="00DB45C0">
      <w:pPr>
        <w:pStyle w:val="Brdtekst"/>
        <w:jc w:val="both"/>
      </w:pPr>
    </w:p>
    <w:p w14:paraId="2771C223" w14:textId="77777777" w:rsidR="00460858" w:rsidRDefault="00460858" w:rsidP="00DB45C0">
      <w:pPr>
        <w:pStyle w:val="Brdtekst"/>
        <w:jc w:val="both"/>
      </w:pPr>
      <w:r>
        <w:t>Kompensationen for den eller de ophørte virksomheder vil blive udbetalt til den fortsættende virksomhed.</w:t>
      </w:r>
    </w:p>
    <w:p w14:paraId="52317D93" w14:textId="77777777" w:rsidR="00DB45C0" w:rsidRDefault="00DB45C0" w:rsidP="00DB45C0">
      <w:pPr>
        <w:pStyle w:val="Brdtekst"/>
        <w:jc w:val="both"/>
        <w:rPr>
          <w:b/>
          <w:bCs/>
        </w:rPr>
      </w:pPr>
    </w:p>
    <w:p w14:paraId="4FAB4778" w14:textId="77777777" w:rsidR="00DB45C0" w:rsidRPr="006B03BA" w:rsidRDefault="00DB45C0" w:rsidP="00DB45C0">
      <w:pPr>
        <w:pStyle w:val="Brdtekst"/>
        <w:jc w:val="both"/>
        <w:rPr>
          <w:i/>
          <w:iCs/>
        </w:rPr>
      </w:pPr>
      <w:r w:rsidRPr="006B03BA">
        <w:rPr>
          <w:i/>
          <w:iCs/>
        </w:rPr>
        <w:t>Spaltning</w:t>
      </w:r>
    </w:p>
    <w:p w14:paraId="78E1A2FA" w14:textId="47608547" w:rsidR="00DB45C0" w:rsidRPr="006B32C6" w:rsidRDefault="009A0126" w:rsidP="00DB45C0">
      <w:pPr>
        <w:pStyle w:val="Brdtekst"/>
        <w:jc w:val="both"/>
      </w:pPr>
      <w:r>
        <w:t>Den virksomhed</w:t>
      </w:r>
      <w:r w:rsidR="00E9522A">
        <w:t>,</w:t>
      </w:r>
      <w:r>
        <w:t xml:space="preserve"> som oprindeligt havde de samlede aktiviteter</w:t>
      </w:r>
      <w:r w:rsidR="00E9522A">
        <w:t>,</w:t>
      </w:r>
      <w:r>
        <w:t xml:space="preserve"> ansøger om kompensationen. Den skal opgøre omsætning og omkostninger som om,</w:t>
      </w:r>
      <w:r w:rsidR="00E9522A">
        <w:t xml:space="preserve"> </w:t>
      </w:r>
      <w:r>
        <w:t>spaltningen ikke var foretaget både for referenceperiode, kompensationsperiode og perioden for de realiserede omkostninger.</w:t>
      </w:r>
      <w:r w:rsidR="00FB145B">
        <w:t xml:space="preserve"> Dette gælder</w:t>
      </w:r>
      <w:r w:rsidR="00E9522A">
        <w:t>,</w:t>
      </w:r>
      <w:r w:rsidR="00FB145B">
        <w:t xml:space="preserve"> uanset om udspaltningen sker til eksisterende eller nystiftede virksomheder, og om den indskydende virksomhed fortsætter eller ophører efter spaltningen.</w:t>
      </w:r>
    </w:p>
    <w:p w14:paraId="578BBCAA" w14:textId="77777777" w:rsidR="00DB45C0" w:rsidRPr="00220AD2" w:rsidRDefault="00DB45C0" w:rsidP="003254FC">
      <w:pPr>
        <w:pStyle w:val="Brdtekst"/>
        <w:jc w:val="both"/>
      </w:pPr>
    </w:p>
    <w:p w14:paraId="26D1A3DF" w14:textId="77777777" w:rsidR="009A0126" w:rsidRPr="006B32C6" w:rsidRDefault="009A0126" w:rsidP="009A0126">
      <w:pPr>
        <w:pStyle w:val="Brdtekst"/>
        <w:jc w:val="both"/>
        <w:rPr>
          <w:i/>
          <w:iCs/>
        </w:rPr>
      </w:pPr>
      <w:r w:rsidRPr="006B32C6">
        <w:rPr>
          <w:i/>
          <w:iCs/>
        </w:rPr>
        <w:t>Måling af overdragne aktiver og forpligtelser</w:t>
      </w:r>
    </w:p>
    <w:p w14:paraId="53885AE2" w14:textId="7D29567B" w:rsidR="009A0126" w:rsidRDefault="009A0126" w:rsidP="009A0126">
      <w:pPr>
        <w:pStyle w:val="Brdtekst"/>
        <w:jc w:val="both"/>
      </w:pPr>
      <w:r>
        <w:lastRenderedPageBreak/>
        <w:t>Idet kompensationen skal søges som om, transaktionerne ikke havde fundet sted, skal de oprindelige værdi</w:t>
      </w:r>
      <w:r w:rsidR="00993CFC">
        <w:t xml:space="preserve">er af overdragne aktiver og forpligtelser fastholdes. Tillige fastholdes </w:t>
      </w:r>
      <w:r>
        <w:t>den oprindelige regnskabspraksis for de overdragne aktiver og forpligtelser.</w:t>
      </w:r>
    </w:p>
    <w:p w14:paraId="311364C6" w14:textId="77777777" w:rsidR="006B32C6" w:rsidRDefault="006B32C6" w:rsidP="003254FC">
      <w:pPr>
        <w:pStyle w:val="Brdtekst"/>
        <w:jc w:val="both"/>
        <w:rPr>
          <w:b/>
          <w:bCs/>
        </w:rPr>
      </w:pPr>
    </w:p>
    <w:p w14:paraId="500DBD25" w14:textId="275E14E0" w:rsidR="009A0126" w:rsidRPr="009A0126" w:rsidRDefault="009A0126" w:rsidP="003254FC">
      <w:pPr>
        <w:pStyle w:val="Brdtekst"/>
        <w:jc w:val="both"/>
        <w:rPr>
          <w:b/>
          <w:bCs/>
          <w:i/>
          <w:iCs/>
        </w:rPr>
      </w:pPr>
      <w:r w:rsidRPr="009A0126">
        <w:rPr>
          <w:b/>
          <w:bCs/>
          <w:i/>
          <w:iCs/>
        </w:rPr>
        <w:t>Koncern-eksterne transaktioner</w:t>
      </w:r>
      <w:r w:rsidR="003363D0">
        <w:rPr>
          <w:b/>
          <w:bCs/>
          <w:i/>
          <w:iCs/>
        </w:rPr>
        <w:t xml:space="preserve"> </w:t>
      </w:r>
      <w:r w:rsidR="00B240CC">
        <w:rPr>
          <w:b/>
          <w:bCs/>
          <w:i/>
          <w:iCs/>
        </w:rPr>
        <w:t xml:space="preserve">fra 1. april 2019 </w:t>
      </w:r>
      <w:r w:rsidR="003363D0">
        <w:rPr>
          <w:b/>
          <w:bCs/>
          <w:i/>
          <w:iCs/>
        </w:rPr>
        <w:t>frem til og med den 8. ju</w:t>
      </w:r>
      <w:r w:rsidR="007B0F7C">
        <w:rPr>
          <w:b/>
          <w:bCs/>
          <w:i/>
          <w:iCs/>
        </w:rPr>
        <w:t>l</w:t>
      </w:r>
      <w:r w:rsidR="003363D0">
        <w:rPr>
          <w:b/>
          <w:bCs/>
          <w:i/>
          <w:iCs/>
        </w:rPr>
        <w:t>i 2020</w:t>
      </w:r>
    </w:p>
    <w:p w14:paraId="3A1E1DA4" w14:textId="53EA7B35" w:rsidR="009A0126" w:rsidRDefault="009A0126" w:rsidP="003254FC">
      <w:pPr>
        <w:pStyle w:val="Brdtekst"/>
        <w:jc w:val="both"/>
        <w:rPr>
          <w:b/>
          <w:bCs/>
        </w:rPr>
      </w:pPr>
    </w:p>
    <w:p w14:paraId="4CF47907" w14:textId="55D9BEE9" w:rsidR="00181925" w:rsidRPr="003D52FA" w:rsidRDefault="00181925" w:rsidP="00181925">
      <w:pPr>
        <w:pStyle w:val="Brdtekst"/>
        <w:jc w:val="both"/>
      </w:pPr>
      <w:r>
        <w:rPr>
          <w:b/>
          <w:bCs/>
          <w:i/>
          <w:iCs/>
        </w:rPr>
        <w:t>Måling</w:t>
      </w:r>
      <w:r w:rsidRPr="003254FC">
        <w:rPr>
          <w:b/>
          <w:bCs/>
          <w:i/>
          <w:iCs/>
        </w:rPr>
        <w:t xml:space="preserve"> af aktiver/forpligtelser</w:t>
      </w:r>
      <w:r>
        <w:t xml:space="preserve">: For køb/salg af aktiviteter (virksomhederne der ikke er under samme parts bestemmende indflydelse) anvendes overtagelsesmetoden, dvs. aktiver og forpligtelser indregnes til </w:t>
      </w:r>
      <w:r w:rsidRPr="00FB145B">
        <w:t xml:space="preserve">dagsværdi </w:t>
      </w:r>
      <w:r w:rsidRPr="00F64B65">
        <w:t>(de overtagne aktiver og forpligtelser måles til dagsværdier og en eventuel positiv forskel indregnes som goodwill, mens en negativ forskel vil blive indtægtsført).</w:t>
      </w:r>
      <w:r>
        <w:rPr>
          <w:rStyle w:val="Fodnotehenvisning"/>
        </w:rPr>
        <w:footnoteReference w:id="10"/>
      </w:r>
      <w:r w:rsidRPr="00F64B65">
        <w:t xml:space="preserve"> </w:t>
      </w:r>
      <w:r>
        <w:t>Afskrivningsberettigede aktiver afskrives i overensstemmelse med den købende virksomheds afskrivningsprincipper.</w:t>
      </w:r>
    </w:p>
    <w:p w14:paraId="65857C0A" w14:textId="77777777" w:rsidR="00181925" w:rsidRDefault="00181925" w:rsidP="003254FC">
      <w:pPr>
        <w:pStyle w:val="Brdtekst"/>
        <w:jc w:val="both"/>
        <w:rPr>
          <w:b/>
          <w:bCs/>
        </w:rPr>
      </w:pPr>
    </w:p>
    <w:p w14:paraId="3063F751" w14:textId="77777777" w:rsidR="00337FE8" w:rsidRPr="00181925" w:rsidRDefault="00337FE8" w:rsidP="003254FC">
      <w:pPr>
        <w:pStyle w:val="Brdtekst"/>
        <w:jc w:val="both"/>
        <w:rPr>
          <w:i/>
          <w:iCs/>
          <w:u w:val="single"/>
        </w:rPr>
      </w:pPr>
      <w:r w:rsidRPr="00181925">
        <w:rPr>
          <w:i/>
          <w:iCs/>
          <w:u w:val="single"/>
        </w:rPr>
        <w:t>Salg af aktivitet</w:t>
      </w:r>
    </w:p>
    <w:p w14:paraId="0613B6FF" w14:textId="51316E85" w:rsidR="00337FE8" w:rsidRPr="00337FE8" w:rsidRDefault="00337FE8" w:rsidP="003254FC">
      <w:pPr>
        <w:pStyle w:val="Brdtekst"/>
        <w:jc w:val="both"/>
      </w:pPr>
      <w:r w:rsidRPr="003254FC">
        <w:rPr>
          <w:i/>
          <w:iCs/>
        </w:rPr>
        <w:t>Omsætning:</w:t>
      </w:r>
      <w:r>
        <w:t xml:space="preserve"> </w:t>
      </w:r>
      <w:r w:rsidR="00925226">
        <w:t>Den sælgende v</w:t>
      </w:r>
      <w:r>
        <w:t>irksomheds omsætning for referenceperioden skal opgøres</w:t>
      </w:r>
      <w:r w:rsidR="00E9522A">
        <w:t>,</w:t>
      </w:r>
      <w:r>
        <w:t xml:space="preserve"> efter</w:t>
      </w:r>
      <w:r w:rsidR="00D92778">
        <w:t xml:space="preserve"> </w:t>
      </w:r>
      <w:r w:rsidR="00A76582">
        <w:t xml:space="preserve">at </w:t>
      </w:r>
      <w:r w:rsidR="00D92778">
        <w:t>den</w:t>
      </w:r>
      <w:r>
        <w:t xml:space="preserve"> omsætning, </w:t>
      </w:r>
      <w:r w:rsidR="00D92778">
        <w:t>som</w:t>
      </w:r>
      <w:r>
        <w:t xml:space="preserve"> vedrører den frasolgte aktivitet</w:t>
      </w:r>
      <w:r w:rsidR="00D92778">
        <w:t>,</w:t>
      </w:r>
      <w:r>
        <w:t xml:space="preserve"> er fratrukket den samlede omsætning i referenceperioden.</w:t>
      </w:r>
      <w:r w:rsidR="00D53032">
        <w:t xml:space="preserve"> Det tilsvarende gør sig gældende for omsætningen i </w:t>
      </w:r>
      <w:r w:rsidR="007A291B">
        <w:t>kompensations</w:t>
      </w:r>
      <w:r w:rsidR="00D53032">
        <w:t>perioden.</w:t>
      </w:r>
    </w:p>
    <w:p w14:paraId="3D5FFC93" w14:textId="77777777" w:rsidR="00337FE8" w:rsidRDefault="00337FE8" w:rsidP="003254FC">
      <w:pPr>
        <w:pStyle w:val="Brdtekst"/>
        <w:jc w:val="both"/>
        <w:rPr>
          <w:b/>
          <w:bCs/>
          <w:i/>
          <w:iCs/>
        </w:rPr>
      </w:pPr>
    </w:p>
    <w:p w14:paraId="26696620" w14:textId="77777777" w:rsidR="00B34E68" w:rsidRDefault="00337FE8" w:rsidP="003254FC">
      <w:pPr>
        <w:pStyle w:val="Brdtekst"/>
        <w:jc w:val="both"/>
        <w:rPr>
          <w:b/>
          <w:bCs/>
          <w:i/>
          <w:iCs/>
        </w:rPr>
      </w:pPr>
      <w:r w:rsidRPr="003254FC">
        <w:rPr>
          <w:i/>
          <w:iCs/>
        </w:rPr>
        <w:t>Omkostninger:</w:t>
      </w:r>
      <w:r>
        <w:t xml:space="preserve"> </w:t>
      </w:r>
      <w:r w:rsidR="00925226">
        <w:t>Den sælgende v</w:t>
      </w:r>
      <w:r>
        <w:t>irksomheds realiserede omkostninger for perioden 1. december 2019 til 29. februar 2020 skal opgøres uden de eventuelle omkostninger, som relaterer sig til den frasolgte aktivitet.</w:t>
      </w:r>
      <w:r w:rsidR="00D53032">
        <w:t xml:space="preserve"> Virksomheden skal ikke medtage omkostninger vedrørende den frasolgte aktivitet i kompensationsperioden.</w:t>
      </w:r>
    </w:p>
    <w:p w14:paraId="347FA17B" w14:textId="77777777" w:rsidR="00D12B4A" w:rsidRDefault="00D12B4A" w:rsidP="003254FC">
      <w:pPr>
        <w:pStyle w:val="Brdtekst"/>
        <w:jc w:val="both"/>
        <w:rPr>
          <w:b/>
          <w:bCs/>
          <w:i/>
          <w:iCs/>
        </w:rPr>
      </w:pPr>
    </w:p>
    <w:p w14:paraId="1F62CCF1" w14:textId="77777777" w:rsidR="00337FE8" w:rsidRPr="00181925" w:rsidRDefault="00337FE8" w:rsidP="003254FC">
      <w:pPr>
        <w:pStyle w:val="Brdtekst"/>
        <w:jc w:val="both"/>
        <w:rPr>
          <w:i/>
          <w:iCs/>
          <w:u w:val="single"/>
        </w:rPr>
      </w:pPr>
      <w:r w:rsidRPr="00181925">
        <w:rPr>
          <w:i/>
          <w:iCs/>
          <w:u w:val="single"/>
        </w:rPr>
        <w:t>Køb af aktivitet</w:t>
      </w:r>
    </w:p>
    <w:p w14:paraId="2C5D0A8D" w14:textId="761135AD" w:rsidR="00337FE8" w:rsidRDefault="00337FE8" w:rsidP="003254FC">
      <w:pPr>
        <w:pStyle w:val="Brdtekst"/>
        <w:jc w:val="both"/>
      </w:pPr>
      <w:r w:rsidRPr="003254FC">
        <w:rPr>
          <w:i/>
          <w:iCs/>
        </w:rPr>
        <w:t>Omsætning:</w:t>
      </w:r>
      <w:r w:rsidR="00925226">
        <w:rPr>
          <w:i/>
          <w:iCs/>
        </w:rPr>
        <w:t xml:space="preserve"> Den købende</w:t>
      </w:r>
      <w:r>
        <w:t xml:space="preserve"> </w:t>
      </w:r>
      <w:r w:rsidR="00925226">
        <w:t>v</w:t>
      </w:r>
      <w:r>
        <w:t>irksomheds omsætning for referenceperioden skal opgøres således</w:t>
      </w:r>
      <w:r w:rsidR="00D92778">
        <w:t>, at</w:t>
      </w:r>
      <w:r>
        <w:t xml:space="preserve"> omsætning</w:t>
      </w:r>
      <w:r w:rsidR="00A5038E">
        <w:t>en</w:t>
      </w:r>
      <w:r>
        <w:t xml:space="preserve"> vedrørende den tilkøbte aktivitet tillægges den realiserede omsætning i referenceperioden.</w:t>
      </w:r>
      <w:r w:rsidR="00D53032">
        <w:t xml:space="preserve"> Virksomheden skal tillige anføre den fulde omsætning fra den tilkøbte aktivitet i kompensationsperioden.</w:t>
      </w:r>
    </w:p>
    <w:p w14:paraId="086A8444" w14:textId="77777777" w:rsidR="00337FE8" w:rsidRDefault="00337FE8" w:rsidP="003254FC">
      <w:pPr>
        <w:pStyle w:val="Brdtekst"/>
        <w:jc w:val="both"/>
      </w:pPr>
    </w:p>
    <w:p w14:paraId="7960CB4A" w14:textId="7BEB5ED4" w:rsidR="00337FE8" w:rsidRPr="00C3307E" w:rsidRDefault="00337FE8" w:rsidP="003254FC">
      <w:pPr>
        <w:pStyle w:val="Brdtekst"/>
        <w:jc w:val="both"/>
      </w:pPr>
      <w:r w:rsidRPr="003254FC">
        <w:rPr>
          <w:i/>
          <w:iCs/>
        </w:rPr>
        <w:t>Omkostninger:</w:t>
      </w:r>
      <w:r w:rsidR="00925226">
        <w:rPr>
          <w:i/>
          <w:iCs/>
        </w:rPr>
        <w:t xml:space="preserve"> Den købende</w:t>
      </w:r>
      <w:r>
        <w:t xml:space="preserve"> </w:t>
      </w:r>
      <w:r w:rsidR="00925226">
        <w:t>v</w:t>
      </w:r>
      <w:r>
        <w:t xml:space="preserve">irksomheds realiserede omkostninger for </w:t>
      </w:r>
      <w:r w:rsidR="00051036">
        <w:t>perioden 1. december 2019 til 29. februar 2020 skal indeholde de omkostninger</w:t>
      </w:r>
      <w:r w:rsidR="00CD0720">
        <w:t>,</w:t>
      </w:r>
      <w:r w:rsidR="00051036">
        <w:t xml:space="preserve"> som </w:t>
      </w:r>
      <w:r w:rsidR="00051036" w:rsidRPr="00C3307E">
        <w:t>vedrører den tilkøbte aktivitet. Hvis købet af aktiviteten har fundet sted efter 1. december 2019</w:t>
      </w:r>
      <w:r w:rsidR="00CD0720" w:rsidRPr="00C3307E">
        <w:t>,</w:t>
      </w:r>
      <w:r w:rsidR="00051036" w:rsidRPr="00FE1570">
        <w:t xml:space="preserve"> og virksomheden ikke har oplysningerne,</w:t>
      </w:r>
      <w:r w:rsidR="001A4F0F" w:rsidRPr="00FE1570">
        <w:t xml:space="preserve"> skal virksomheden fremskaffe disse hos sælger</w:t>
      </w:r>
      <w:r w:rsidR="00051036" w:rsidRPr="00C3307E">
        <w:t>.</w:t>
      </w:r>
      <w:r w:rsidR="00D53032" w:rsidRPr="00FE1570">
        <w:t xml:space="preserve"> Virksomhedens omkostninger fra den tilkøbte aktivitet medtages i kompensationsperioden</w:t>
      </w:r>
      <w:r w:rsidR="000D7665" w:rsidRPr="00FE1570">
        <w:t>. Sker købet efter den 9. marts 2020 medtages</w:t>
      </w:r>
      <w:r w:rsidR="001A4F0F" w:rsidRPr="00FE1570">
        <w:t xml:space="preserve"> alene</w:t>
      </w:r>
      <w:r w:rsidR="000D7665" w:rsidRPr="00FE1570">
        <w:t xml:space="preserve"> omkostninger</w:t>
      </w:r>
      <w:r w:rsidR="001A4F0F" w:rsidRPr="00FE1570">
        <w:t xml:space="preserve"> for den del af kompensationsperioden, hvor virksomheden har ejet den pågældende aktivitet, medmindre den købende virksomhed kan godtgøre, at salgsprisen ikke tager højde for det COVID-19 relaterede tab. Se mere herom ovenfor</w:t>
      </w:r>
      <w:r w:rsidR="00D53032" w:rsidRPr="00FE1570">
        <w:t>.</w:t>
      </w:r>
    </w:p>
    <w:p w14:paraId="1163C4A1" w14:textId="77777777" w:rsidR="00337FE8" w:rsidRPr="00FE1570" w:rsidRDefault="00337FE8" w:rsidP="003254FC">
      <w:pPr>
        <w:pStyle w:val="Brdtekst"/>
        <w:jc w:val="both"/>
        <w:rPr>
          <w:b/>
          <w:bCs/>
          <w:i/>
          <w:iCs/>
        </w:rPr>
      </w:pPr>
    </w:p>
    <w:p w14:paraId="3B7B19F3" w14:textId="77777777" w:rsidR="00FC765A" w:rsidRPr="00FE1570" w:rsidRDefault="00FC765A" w:rsidP="00FC765A">
      <w:pPr>
        <w:pStyle w:val="Brdtekst"/>
        <w:jc w:val="both"/>
        <w:rPr>
          <w:i/>
          <w:iCs/>
        </w:rPr>
      </w:pPr>
      <w:r w:rsidRPr="00FE1570">
        <w:rPr>
          <w:i/>
          <w:iCs/>
        </w:rPr>
        <w:t>Fusion</w:t>
      </w:r>
    </w:p>
    <w:p w14:paraId="7C9F415C" w14:textId="0FA1ED9E" w:rsidR="00FC765A" w:rsidRPr="00FE1570" w:rsidRDefault="00FC765A" w:rsidP="00FC765A">
      <w:pPr>
        <w:pStyle w:val="Brdtekst"/>
        <w:jc w:val="both"/>
      </w:pPr>
      <w:r w:rsidRPr="00FE1570">
        <w:lastRenderedPageBreak/>
        <w:t>Ved fusion af virksomheder anvendes metoderne som anført under køb af aktivitet, dvs. omsætning og omkostninger opgøres som om, fusionen var foretaget inden begyndelsen af referenceperioden.</w:t>
      </w:r>
    </w:p>
    <w:p w14:paraId="79A14194" w14:textId="3A5DD0E3" w:rsidR="00415708" w:rsidRPr="00FE1570" w:rsidRDefault="00415708" w:rsidP="00FC765A">
      <w:pPr>
        <w:pStyle w:val="Brdtekst"/>
        <w:jc w:val="both"/>
      </w:pPr>
    </w:p>
    <w:p w14:paraId="3C2373B3" w14:textId="4C9F701E" w:rsidR="00415708" w:rsidRPr="00C3307E" w:rsidRDefault="00415708" w:rsidP="00415708">
      <w:pPr>
        <w:pStyle w:val="Brdtekst"/>
      </w:pPr>
      <w:r w:rsidRPr="00FE1570">
        <w:t>Sker fusionen efter den 9. marts 2020 kan fortsættende virksomhed alene medregne omsætning fra aktiviteten for den del af kompensationsperioden, hvor aktiviteten har været ejet af virksomheden. Fortsættende virksomhed kan medregne omsætning for den del af kompensationsperioden, hvor aktivitet har været ejet af anden virksomhed, hvis fortsættende virksomhed kan dokumentere, at salgsprisen ikke tager højde for det tab, som den overdragne aktivitet har lidt under COVID-19.</w:t>
      </w:r>
    </w:p>
    <w:p w14:paraId="049B6E92" w14:textId="77777777" w:rsidR="00FC765A" w:rsidRPr="00FE1570" w:rsidRDefault="00FC765A" w:rsidP="00FC765A">
      <w:pPr>
        <w:pStyle w:val="Brdtekst"/>
        <w:jc w:val="both"/>
      </w:pPr>
    </w:p>
    <w:p w14:paraId="59ED8C29" w14:textId="20EFC475" w:rsidR="00FC765A" w:rsidRPr="00FE1570" w:rsidRDefault="00FC765A" w:rsidP="00FC765A">
      <w:pPr>
        <w:pStyle w:val="Brdtekst"/>
        <w:jc w:val="both"/>
      </w:pPr>
      <w:r w:rsidRPr="00FE1570">
        <w:t>Er de</w:t>
      </w:r>
      <w:r w:rsidR="00735176" w:rsidRPr="00FE1570">
        <w:t>n</w:t>
      </w:r>
      <w:r w:rsidRPr="00FE1570">
        <w:t xml:space="preserve"> fusionerede </w:t>
      </w:r>
      <w:r w:rsidR="00735176" w:rsidRPr="00FE1570">
        <w:t>virksomhed</w:t>
      </w:r>
      <w:r w:rsidRPr="00FE1570">
        <w:t xml:space="preserve"> </w:t>
      </w:r>
      <w:r w:rsidR="00300BFA" w:rsidRPr="00FE1570">
        <w:t>opstået som følge af</w:t>
      </w:r>
      <w:r w:rsidRPr="00FE1570">
        <w:t xml:space="preserve"> fusionen efter den 9. marts 2020</w:t>
      </w:r>
      <w:r w:rsidR="00CD0720" w:rsidRPr="00FE1570">
        <w:t>,</w:t>
      </w:r>
      <w:r w:rsidRPr="00FE1570">
        <w:t xml:space="preserve"> kan der ikke søges om kompensation</w:t>
      </w:r>
      <w:r w:rsidR="00CE3060" w:rsidRPr="00FE1570">
        <w:t>, da de</w:t>
      </w:r>
      <w:r w:rsidR="00955753" w:rsidRPr="00FE1570">
        <w:t>n</w:t>
      </w:r>
      <w:r w:rsidR="00CE3060" w:rsidRPr="00FE1570">
        <w:t xml:space="preserve"> ikke opfylder kravet i bekendtgørelsen om, at virksomheden var registreret i cvr senest den 9. marts 2020</w:t>
      </w:r>
      <w:r w:rsidRPr="00FE1570">
        <w:t>.</w:t>
      </w:r>
    </w:p>
    <w:p w14:paraId="0926F8C9" w14:textId="77777777" w:rsidR="00251FCB" w:rsidRPr="00FE1570" w:rsidRDefault="00251FCB" w:rsidP="00FC765A">
      <w:pPr>
        <w:pStyle w:val="Brdtekst"/>
        <w:jc w:val="both"/>
      </w:pPr>
    </w:p>
    <w:p w14:paraId="3722DC1C" w14:textId="77777777" w:rsidR="00337FE8" w:rsidRPr="00FE1570" w:rsidRDefault="00337FE8" w:rsidP="003254FC">
      <w:pPr>
        <w:pStyle w:val="Brdtekst"/>
        <w:jc w:val="both"/>
        <w:rPr>
          <w:i/>
          <w:iCs/>
        </w:rPr>
      </w:pPr>
      <w:r w:rsidRPr="00FE1570">
        <w:rPr>
          <w:i/>
          <w:iCs/>
        </w:rPr>
        <w:t>Spaltning</w:t>
      </w:r>
    </w:p>
    <w:p w14:paraId="4F62F4A3" w14:textId="747E9425" w:rsidR="00051036" w:rsidRPr="00FE1570" w:rsidRDefault="003D52FA" w:rsidP="003254FC">
      <w:pPr>
        <w:pStyle w:val="Brdtekst"/>
        <w:jc w:val="both"/>
      </w:pPr>
      <w:r w:rsidRPr="00FE1570">
        <w:t>Ved spaltning anvendes metoderne som anført under salg af aktiviteter</w:t>
      </w:r>
      <w:r w:rsidR="002E0A15" w:rsidRPr="00FE1570">
        <w:t xml:space="preserve"> for </w:t>
      </w:r>
      <w:r w:rsidR="008C15AA" w:rsidRPr="00FE1570">
        <w:t xml:space="preserve">indskydende </w:t>
      </w:r>
      <w:r w:rsidR="00735176" w:rsidRPr="00FE1570">
        <w:t>virksomhed</w:t>
      </w:r>
      <w:r w:rsidR="002E0A15" w:rsidRPr="00FE1570">
        <w:t xml:space="preserve"> og som anført under køb af aktiviteter for </w:t>
      </w:r>
      <w:r w:rsidR="00735176" w:rsidRPr="00FE1570">
        <w:t>modtagende</w:t>
      </w:r>
      <w:r w:rsidR="002E0A15" w:rsidRPr="00FE1570">
        <w:t xml:space="preserve"> </w:t>
      </w:r>
      <w:r w:rsidR="00735176" w:rsidRPr="00FE1570">
        <w:t>virksomhed</w:t>
      </w:r>
      <w:r w:rsidRPr="00FE1570">
        <w:t>.</w:t>
      </w:r>
    </w:p>
    <w:p w14:paraId="37064BD3" w14:textId="0797A536" w:rsidR="00415708" w:rsidRPr="00FE1570" w:rsidRDefault="00415708" w:rsidP="003254FC">
      <w:pPr>
        <w:pStyle w:val="Brdtekst"/>
        <w:jc w:val="both"/>
      </w:pPr>
    </w:p>
    <w:p w14:paraId="6874DABA" w14:textId="5383A75E" w:rsidR="00415708" w:rsidRDefault="00415708" w:rsidP="00415708">
      <w:pPr>
        <w:pStyle w:val="Brdtekst"/>
      </w:pPr>
      <w:r w:rsidRPr="00FE1570">
        <w:t>Sker spaltningen efter den 9. marts 2020 kan modtageren alene medregne omsætning fra aktiviteten for den del af kompensationsperioden, hvor aktiviteten har været ejet af virksomheden. Fortsættende virksomhed kan medregne omsætning for den del af kompensationsperioden, hvor aktivitet har været ejet af anden virksomhed, hvis fortsættende virksomhed kan dokumentere, at salgsprisen ikke tager højde for det tab, som den overdragne aktivitet har lidt under COVID-19</w:t>
      </w:r>
    </w:p>
    <w:p w14:paraId="5FA9CE00" w14:textId="66370983" w:rsidR="00415708" w:rsidRPr="00051036" w:rsidRDefault="00415708" w:rsidP="003254FC">
      <w:pPr>
        <w:pStyle w:val="Brdtekst"/>
        <w:jc w:val="both"/>
      </w:pPr>
    </w:p>
    <w:p w14:paraId="22500295" w14:textId="77777777" w:rsidR="003D52FA" w:rsidRDefault="003D52FA" w:rsidP="003254FC">
      <w:pPr>
        <w:pStyle w:val="Brdtekst"/>
        <w:jc w:val="both"/>
        <w:rPr>
          <w:b/>
          <w:bCs/>
          <w:i/>
          <w:iCs/>
        </w:rPr>
      </w:pPr>
    </w:p>
    <w:p w14:paraId="727FE126" w14:textId="522590F4" w:rsidR="00251FCB" w:rsidRPr="00FC765A" w:rsidRDefault="00FC765A" w:rsidP="003254FC">
      <w:pPr>
        <w:pStyle w:val="Brdtekst"/>
        <w:jc w:val="both"/>
      </w:pPr>
      <w:r>
        <w:t>Er de</w:t>
      </w:r>
      <w:r w:rsidR="00735176">
        <w:t>n</w:t>
      </w:r>
      <w:r>
        <w:t xml:space="preserve"> </w:t>
      </w:r>
      <w:r w:rsidR="00735176">
        <w:t>virksomhed</w:t>
      </w:r>
      <w:r>
        <w:t>, hvorfra aktiviteter udspaltes</w:t>
      </w:r>
      <w:r w:rsidR="00CD0720">
        <w:t>,</w:t>
      </w:r>
      <w:r>
        <w:t xml:space="preserve"> ophørt, kan det ikke ansøge om kompensation.</w:t>
      </w:r>
      <w:r w:rsidR="00435402">
        <w:t xml:space="preserve"> Er det modtagende selskab </w:t>
      </w:r>
      <w:r w:rsidR="00251FCB">
        <w:t>stiftet</w:t>
      </w:r>
      <w:r w:rsidR="00435402">
        <w:t xml:space="preserve"> efter 9. marts 2020, kan de</w:t>
      </w:r>
      <w:r w:rsidR="00CD0720">
        <w:t>n</w:t>
      </w:r>
      <w:r w:rsidR="00435402">
        <w:t xml:space="preserve"> ikke ansøge om kompensation</w:t>
      </w:r>
      <w:r w:rsidR="00CE3060">
        <w:t>, da de</w:t>
      </w:r>
      <w:r w:rsidR="00955753">
        <w:t>n</w:t>
      </w:r>
      <w:r w:rsidR="00CE3060">
        <w:t xml:space="preserve"> ikke opfylder kravet i bekendtgørelsen om, at virksomheden var registreret i cvr senest den 9. marts 2020</w:t>
      </w:r>
      <w:r w:rsidR="00435402">
        <w:t>.</w:t>
      </w:r>
    </w:p>
    <w:p w14:paraId="2EED5289" w14:textId="77777777" w:rsidR="00FC765A" w:rsidRDefault="00FC765A" w:rsidP="003254FC">
      <w:pPr>
        <w:pStyle w:val="Brdtekst"/>
        <w:jc w:val="both"/>
        <w:rPr>
          <w:b/>
          <w:bCs/>
          <w:i/>
          <w:iCs/>
        </w:rPr>
      </w:pPr>
    </w:p>
    <w:p w14:paraId="6184229E" w14:textId="77777777" w:rsidR="009E4449" w:rsidRPr="006B32C6" w:rsidRDefault="009E4449" w:rsidP="009E4449">
      <w:pPr>
        <w:pStyle w:val="Brdtekst"/>
        <w:jc w:val="both"/>
        <w:rPr>
          <w:i/>
          <w:iCs/>
        </w:rPr>
      </w:pPr>
      <w:r w:rsidRPr="006B32C6">
        <w:rPr>
          <w:i/>
          <w:iCs/>
        </w:rPr>
        <w:t>Måling af overdragne aktiver og forpligtelser</w:t>
      </w:r>
    </w:p>
    <w:p w14:paraId="60195CD9" w14:textId="480BE98B" w:rsidR="001A4F0F" w:rsidRPr="009E4449" w:rsidRDefault="009E4449" w:rsidP="003254FC">
      <w:pPr>
        <w:pStyle w:val="Brdtekst"/>
        <w:jc w:val="both"/>
      </w:pPr>
      <w:r>
        <w:t>Måling af de overdragne aktiver og forpligtelser foretages efter årsregnskabslovens § 122, dvs. efter overtagelsesmetoden. Aktiver og forpligtelser indregnes til dagsværdi (de overtagne aktiver og forpligtelser måles til dagsværdier og en eventuel positiv forskel indregnes som goodwill, mens en negativ forskel vil blive indtægtsført). Afskrivningsberettigede aktiver afskrives i overensstemmelse med den købende virksomheds afskrivningsprincipper.</w:t>
      </w:r>
    </w:p>
    <w:p w14:paraId="5F2F537A" w14:textId="77777777" w:rsidR="009E4449" w:rsidRPr="00337FE8" w:rsidRDefault="009E4449" w:rsidP="003254FC">
      <w:pPr>
        <w:pStyle w:val="Brdtekst"/>
        <w:jc w:val="both"/>
        <w:rPr>
          <w:b/>
          <w:bCs/>
          <w:i/>
          <w:iCs/>
        </w:rPr>
      </w:pPr>
    </w:p>
    <w:p w14:paraId="35A25D51" w14:textId="77777777" w:rsidR="009A0126" w:rsidRPr="00337FE8" w:rsidRDefault="009A0126" w:rsidP="009A0126">
      <w:pPr>
        <w:pStyle w:val="Brdtekst"/>
        <w:jc w:val="both"/>
        <w:rPr>
          <w:b/>
          <w:bCs/>
          <w:i/>
          <w:iCs/>
        </w:rPr>
      </w:pPr>
      <w:r w:rsidRPr="00337FE8">
        <w:rPr>
          <w:b/>
          <w:bCs/>
          <w:i/>
          <w:iCs/>
        </w:rPr>
        <w:t>Omdannelse fra personlig virksomhed til selskab</w:t>
      </w:r>
    </w:p>
    <w:p w14:paraId="30E2B8C7" w14:textId="32E4D55E" w:rsidR="009A0126" w:rsidRDefault="009A0126" w:rsidP="009A0126">
      <w:pPr>
        <w:pStyle w:val="Brdtekst"/>
        <w:jc w:val="both"/>
        <w:rPr>
          <w:i/>
          <w:iCs/>
        </w:rPr>
      </w:pPr>
      <w:bookmarkStart w:id="8" w:name="_Hlk37765201"/>
      <w:r w:rsidRPr="00432565">
        <w:rPr>
          <w:i/>
          <w:iCs/>
        </w:rPr>
        <w:t>Selskabet har fået et cvr-nr. senest den 9. marts 2020</w:t>
      </w:r>
    </w:p>
    <w:p w14:paraId="0FDA363E" w14:textId="77777777" w:rsidR="00CD0720" w:rsidRPr="00432565" w:rsidRDefault="00CD0720" w:rsidP="009A0126">
      <w:pPr>
        <w:pStyle w:val="Brdtekst"/>
        <w:jc w:val="both"/>
        <w:rPr>
          <w:i/>
          <w:iCs/>
        </w:rPr>
      </w:pPr>
    </w:p>
    <w:bookmarkEnd w:id="8"/>
    <w:p w14:paraId="04D787A8" w14:textId="77777777" w:rsidR="009A0126" w:rsidRPr="00432565" w:rsidRDefault="009A0126" w:rsidP="009A0126">
      <w:pPr>
        <w:pStyle w:val="Brdtekst"/>
        <w:jc w:val="both"/>
      </w:pPr>
      <w:r w:rsidRPr="003254FC">
        <w:rPr>
          <w:i/>
          <w:iCs/>
        </w:rPr>
        <w:t>Omsætning:</w:t>
      </w:r>
      <w:r>
        <w:t xml:space="preserve"> Omsætningen for selskabet for referenceperioden opgøres som omsætningen i den personligt drevne virksomhed, hvis omdannelsen er sket efter </w:t>
      </w:r>
      <w:r>
        <w:lastRenderedPageBreak/>
        <w:t xml:space="preserve">begyndelsen af referenceperioden den 1. april 2019. Omsætningen i kompensationsperioden medtages tillige for selskabet. </w:t>
      </w:r>
      <w:r w:rsidR="007F4146">
        <w:t>Dvs. for så vidt angår ansøgningen om kompensation, så skal selskabet ansøge, som om det var stiftet den 1. april 2019.</w:t>
      </w:r>
    </w:p>
    <w:p w14:paraId="5B7BF7F2" w14:textId="77777777" w:rsidR="009A0126" w:rsidRDefault="009A0126" w:rsidP="009A0126">
      <w:pPr>
        <w:pStyle w:val="Brdtekst"/>
        <w:jc w:val="both"/>
      </w:pPr>
      <w:r>
        <w:t xml:space="preserve"> </w:t>
      </w:r>
    </w:p>
    <w:p w14:paraId="3DE3D66E" w14:textId="7FF9E183" w:rsidR="009A0126" w:rsidRDefault="009A0126" w:rsidP="009A0126">
      <w:pPr>
        <w:pStyle w:val="Brdtekst"/>
        <w:jc w:val="both"/>
      </w:pPr>
      <w:r>
        <w:t>Det er selskabet</w:t>
      </w:r>
      <w:r w:rsidR="00CD0720">
        <w:t>,</w:t>
      </w:r>
      <w:r>
        <w:t xml:space="preserve"> som indberetter omsætning og søger om kompensation og den personligt drevne virksomhed ansøger ikke om kompensation.</w:t>
      </w:r>
    </w:p>
    <w:p w14:paraId="68A619CB" w14:textId="77777777" w:rsidR="009A0126" w:rsidRDefault="009A0126" w:rsidP="009A0126">
      <w:pPr>
        <w:pStyle w:val="Brdtekst"/>
        <w:jc w:val="both"/>
      </w:pPr>
    </w:p>
    <w:p w14:paraId="473866CC" w14:textId="77777777" w:rsidR="009A0126" w:rsidRDefault="009A0126" w:rsidP="009A0126">
      <w:pPr>
        <w:pStyle w:val="Brdtekst"/>
        <w:jc w:val="both"/>
      </w:pPr>
      <w:r w:rsidRPr="003254FC">
        <w:rPr>
          <w:i/>
          <w:iCs/>
        </w:rPr>
        <w:t>Omkostninger:</w:t>
      </w:r>
      <w:r>
        <w:t xml:space="preserve"> De realiserede omkostninger for perioden 1. december 2019 til 29. februar 2020 opgøres som de realiserede omkostninger i den personligt drevne virksomhed, hvis omdannelsen er sket efter den 1. april 2019. </w:t>
      </w:r>
    </w:p>
    <w:p w14:paraId="59CC8915" w14:textId="77777777" w:rsidR="009A0126" w:rsidRDefault="009A0126" w:rsidP="009A0126">
      <w:pPr>
        <w:pStyle w:val="Brdtekst"/>
        <w:jc w:val="both"/>
      </w:pPr>
    </w:p>
    <w:p w14:paraId="16B3D6D4" w14:textId="304D6DA1" w:rsidR="009A0126" w:rsidRDefault="009A0126" w:rsidP="009A0126">
      <w:pPr>
        <w:pStyle w:val="Brdtekst"/>
        <w:jc w:val="both"/>
      </w:pPr>
      <w:r>
        <w:t>Omkostningerne indberettes for selskabet</w:t>
      </w:r>
      <w:r w:rsidR="00CD0720">
        <w:t>,</w:t>
      </w:r>
      <w:r>
        <w:t xml:space="preserve"> og den personligt drevne virksomhed ansøger ikke om kompensation.</w:t>
      </w:r>
    </w:p>
    <w:p w14:paraId="0C454196" w14:textId="77777777" w:rsidR="009A0126" w:rsidRDefault="009A0126" w:rsidP="009A0126">
      <w:pPr>
        <w:pStyle w:val="Brdtekst"/>
        <w:jc w:val="both"/>
      </w:pPr>
    </w:p>
    <w:p w14:paraId="57F1BE4E" w14:textId="77777777" w:rsidR="009A0126" w:rsidRPr="00432565" w:rsidRDefault="009A0126" w:rsidP="009A0126">
      <w:pPr>
        <w:pStyle w:val="Brdtekst"/>
        <w:jc w:val="both"/>
        <w:rPr>
          <w:i/>
          <w:iCs/>
        </w:rPr>
      </w:pPr>
      <w:r w:rsidRPr="00432565">
        <w:rPr>
          <w:i/>
          <w:iCs/>
        </w:rPr>
        <w:t xml:space="preserve">Selskabet har fået et cvr-nr. </w:t>
      </w:r>
      <w:r>
        <w:rPr>
          <w:i/>
          <w:iCs/>
        </w:rPr>
        <w:t>efter</w:t>
      </w:r>
      <w:r w:rsidRPr="00432565">
        <w:rPr>
          <w:i/>
          <w:iCs/>
        </w:rPr>
        <w:t xml:space="preserve"> den 9. marts 2020</w:t>
      </w:r>
    </w:p>
    <w:p w14:paraId="701E939E" w14:textId="77777777" w:rsidR="009A0126" w:rsidRDefault="009A0126" w:rsidP="009A0126">
      <w:pPr>
        <w:pStyle w:val="Brdtekst"/>
        <w:jc w:val="both"/>
      </w:pPr>
      <w:r w:rsidRPr="003254FC">
        <w:rPr>
          <w:i/>
          <w:iCs/>
        </w:rPr>
        <w:t>Omsætning:</w:t>
      </w:r>
      <w:r>
        <w:t xml:space="preserve"> Omsætningen for referenceperioden og kompensationsperioden opgøres for den personligt drevne virksomhed.</w:t>
      </w:r>
    </w:p>
    <w:p w14:paraId="60121A12" w14:textId="77777777" w:rsidR="009A0126" w:rsidRPr="00337FE8" w:rsidRDefault="009A0126" w:rsidP="009A0126">
      <w:pPr>
        <w:pStyle w:val="Brdtekst"/>
        <w:jc w:val="both"/>
      </w:pPr>
    </w:p>
    <w:p w14:paraId="317F002D" w14:textId="257389E3" w:rsidR="009A0126" w:rsidRDefault="009A0126" w:rsidP="009A0126">
      <w:pPr>
        <w:pStyle w:val="Brdtekst"/>
        <w:jc w:val="both"/>
      </w:pPr>
      <w:r>
        <w:t>Omsætningen indberettes for den personligt drevne virksomhed</w:t>
      </w:r>
      <w:r w:rsidR="00CD0720">
        <w:t>,</w:t>
      </w:r>
      <w:r>
        <w:t xml:space="preserve"> og selskabet ansøger ikke om kompensation.</w:t>
      </w:r>
    </w:p>
    <w:p w14:paraId="70369DCE" w14:textId="77777777" w:rsidR="009A0126" w:rsidRDefault="009A0126" w:rsidP="009A0126">
      <w:pPr>
        <w:pStyle w:val="Brdtekst"/>
        <w:jc w:val="both"/>
      </w:pPr>
    </w:p>
    <w:p w14:paraId="7A50D168" w14:textId="7B97FB97" w:rsidR="009A0126" w:rsidRDefault="009A0126" w:rsidP="009A0126">
      <w:pPr>
        <w:pStyle w:val="Brdtekst"/>
        <w:jc w:val="both"/>
      </w:pPr>
      <w:r w:rsidRPr="003254FC">
        <w:rPr>
          <w:i/>
          <w:iCs/>
        </w:rPr>
        <w:t>Omkostninger:</w:t>
      </w:r>
      <w:r>
        <w:t xml:space="preserve"> De realiserede omkostninger for perioden 1. december 2019 til 29. februar 2020 opgøres for den personlig</w:t>
      </w:r>
      <w:r w:rsidR="00CD0720">
        <w:t>t drevne</w:t>
      </w:r>
      <w:r>
        <w:t xml:space="preserve"> virksomhed.</w:t>
      </w:r>
    </w:p>
    <w:p w14:paraId="097E8071" w14:textId="77777777" w:rsidR="009A0126" w:rsidRDefault="009A0126" w:rsidP="009A0126">
      <w:pPr>
        <w:pStyle w:val="Brdtekst"/>
        <w:jc w:val="both"/>
      </w:pPr>
    </w:p>
    <w:p w14:paraId="551213B1" w14:textId="77777777" w:rsidR="009A0126" w:rsidRDefault="009A0126" w:rsidP="009A0126">
      <w:pPr>
        <w:pStyle w:val="Brdtekst"/>
        <w:jc w:val="both"/>
      </w:pPr>
      <w:r>
        <w:t>Omkostningerne indberettes for den personligt drevne virksomhed og selskabet ansøger ikke om kompensation.</w:t>
      </w:r>
    </w:p>
    <w:p w14:paraId="318A4053" w14:textId="77777777" w:rsidR="009A0126" w:rsidRDefault="009A0126" w:rsidP="009A0126">
      <w:pPr>
        <w:pStyle w:val="Brdtekst"/>
        <w:jc w:val="both"/>
      </w:pPr>
    </w:p>
    <w:p w14:paraId="1FD26D85" w14:textId="77777777" w:rsidR="00FC765A" w:rsidRDefault="00FC765A" w:rsidP="009A0126">
      <w:pPr>
        <w:pStyle w:val="Brdtekst"/>
        <w:jc w:val="both"/>
      </w:pPr>
      <w:r>
        <w:t>Da den personligt drevne virksomhed er ophørt, så udbetales kompensationen til det nystiftede selskab.</w:t>
      </w:r>
    </w:p>
    <w:p w14:paraId="66C05816" w14:textId="77777777" w:rsidR="009E4449" w:rsidRDefault="009E4449" w:rsidP="009E4449">
      <w:pPr>
        <w:pStyle w:val="Brdtekst"/>
        <w:jc w:val="both"/>
        <w:rPr>
          <w:i/>
          <w:iCs/>
        </w:rPr>
      </w:pPr>
    </w:p>
    <w:p w14:paraId="7C003CD9" w14:textId="77777777" w:rsidR="009E4449" w:rsidRPr="006B32C6" w:rsidRDefault="009E4449" w:rsidP="009E4449">
      <w:pPr>
        <w:pStyle w:val="Brdtekst"/>
        <w:jc w:val="both"/>
        <w:rPr>
          <w:i/>
          <w:iCs/>
        </w:rPr>
      </w:pPr>
      <w:r w:rsidRPr="006B32C6">
        <w:rPr>
          <w:i/>
          <w:iCs/>
        </w:rPr>
        <w:t>Måling af overdragne aktiver og forpligtelser</w:t>
      </w:r>
    </w:p>
    <w:p w14:paraId="302B5083" w14:textId="4105E9C0" w:rsidR="009E4449" w:rsidRDefault="009E4449" w:rsidP="009E4449">
      <w:pPr>
        <w:pStyle w:val="Brdtekst"/>
        <w:jc w:val="both"/>
      </w:pPr>
      <w:r>
        <w:t>Virksomheden skal benytte sammenlægningsmetoden efter årsregnskabslovens § 123, dvs. aktiver og forpligtelser skal indgå med samme værdi, som de havde i den personlig</w:t>
      </w:r>
      <w:r w:rsidR="00CD0720">
        <w:t>t drevne</w:t>
      </w:r>
      <w:r>
        <w:t xml:space="preserve"> virksomhed på retsvirkningstidspunktet. De overdragne aktiver skal </w:t>
      </w:r>
      <w:proofErr w:type="gramStart"/>
      <w:r>
        <w:t>endvidere</w:t>
      </w:r>
      <w:proofErr w:type="gramEnd"/>
      <w:r>
        <w:t xml:space="preserve"> afskrives efter samme principper, som var gældende i den personlig</w:t>
      </w:r>
      <w:r w:rsidR="00CD0720">
        <w:t>t drevne</w:t>
      </w:r>
      <w:r>
        <w:t xml:space="preserve"> virksomhed.</w:t>
      </w:r>
    </w:p>
    <w:p w14:paraId="08BC78DA" w14:textId="77777777" w:rsidR="00FC765A" w:rsidRDefault="00FC765A" w:rsidP="009A0126">
      <w:pPr>
        <w:pStyle w:val="Brdtekst"/>
        <w:jc w:val="both"/>
      </w:pPr>
    </w:p>
    <w:p w14:paraId="4174ECB5" w14:textId="77777777" w:rsidR="009A0126" w:rsidRPr="003849A4" w:rsidRDefault="009A0126" w:rsidP="009A0126">
      <w:pPr>
        <w:pStyle w:val="Brdtekst"/>
        <w:jc w:val="both"/>
        <w:rPr>
          <w:b/>
          <w:bCs/>
          <w:i/>
          <w:iCs/>
        </w:rPr>
      </w:pPr>
      <w:r w:rsidRPr="003849A4">
        <w:rPr>
          <w:b/>
          <w:bCs/>
          <w:i/>
          <w:iCs/>
        </w:rPr>
        <w:t>Salg af aktivitet</w:t>
      </w:r>
      <w:r w:rsidR="00B240CC">
        <w:rPr>
          <w:b/>
          <w:bCs/>
          <w:i/>
          <w:iCs/>
        </w:rPr>
        <w:t xml:space="preserve"> efter 1. april 2019</w:t>
      </w:r>
      <w:r w:rsidRPr="003849A4">
        <w:rPr>
          <w:b/>
          <w:bCs/>
          <w:i/>
          <w:iCs/>
        </w:rPr>
        <w:t xml:space="preserve"> til en nystiftet virksomhed, som ikke havde et CVR-nr. senest den 9. marts 2020. </w:t>
      </w:r>
    </w:p>
    <w:p w14:paraId="3DA9A75B" w14:textId="77777777" w:rsidR="009A0126" w:rsidRDefault="009A0126" w:rsidP="009A0126">
      <w:pPr>
        <w:pStyle w:val="Brdtekst"/>
        <w:jc w:val="both"/>
      </w:pPr>
      <w:r>
        <w:t>Den nystiftede virksomhed kan ikke søge kompensation.</w:t>
      </w:r>
    </w:p>
    <w:p w14:paraId="30863277" w14:textId="77777777" w:rsidR="009A0126" w:rsidRDefault="009A0126" w:rsidP="009A0126">
      <w:pPr>
        <w:pStyle w:val="Brdtekst"/>
        <w:jc w:val="both"/>
      </w:pPr>
    </w:p>
    <w:p w14:paraId="274AC1FE" w14:textId="77777777" w:rsidR="009A0126" w:rsidRDefault="009A0126" w:rsidP="009A0126">
      <w:pPr>
        <w:pStyle w:val="Brdtekst"/>
        <w:jc w:val="both"/>
      </w:pPr>
      <w:r>
        <w:t>Den sælgende virksomhed skal ikke medtage omsætningen vedrørende den frasolgte aktivitet i referenceperioden og i kompensationsperioden.</w:t>
      </w:r>
    </w:p>
    <w:p w14:paraId="7A01010A" w14:textId="77777777" w:rsidR="009A0126" w:rsidRDefault="009A0126" w:rsidP="009A0126">
      <w:pPr>
        <w:pStyle w:val="Brdtekst"/>
        <w:jc w:val="both"/>
      </w:pPr>
    </w:p>
    <w:p w14:paraId="1391DFAF" w14:textId="77777777" w:rsidR="009A0126" w:rsidRDefault="009A0126" w:rsidP="009A0126">
      <w:pPr>
        <w:pStyle w:val="Brdtekst"/>
        <w:jc w:val="both"/>
      </w:pPr>
      <w:r>
        <w:t>Den sælgende virksomhed skal ikke medtage omkostninger vedrørende den frasolgte aktivitet i hverken opgørelsen af de realiserede omkostninger i referenceperioden eller i opgørelsen af omkostningerne i kompensationsperioden.</w:t>
      </w:r>
    </w:p>
    <w:p w14:paraId="5E3F0A93" w14:textId="138E9053" w:rsidR="009A0126" w:rsidRDefault="009A0126" w:rsidP="009A0126">
      <w:pPr>
        <w:pStyle w:val="Brdtekst"/>
        <w:jc w:val="both"/>
      </w:pPr>
    </w:p>
    <w:p w14:paraId="3385869D" w14:textId="77777777" w:rsidR="009A0126" w:rsidRDefault="009A0126" w:rsidP="009A0126">
      <w:pPr>
        <w:pStyle w:val="Brdtekst"/>
        <w:jc w:val="both"/>
        <w:rPr>
          <w:b/>
          <w:bCs/>
        </w:rPr>
      </w:pPr>
      <w:r w:rsidRPr="00F22AE7">
        <w:rPr>
          <w:b/>
          <w:bCs/>
        </w:rPr>
        <w:lastRenderedPageBreak/>
        <w:t>Oversigt over samspillet mellem de overordnede principper</w:t>
      </w:r>
    </w:p>
    <w:p w14:paraId="248A0D61" w14:textId="77777777" w:rsidR="009A0126" w:rsidRDefault="009A0126" w:rsidP="009A0126">
      <w:pPr>
        <w:pStyle w:val="Brdtekst"/>
        <w:rPr>
          <w:b/>
          <w:bCs/>
        </w:rPr>
      </w:pPr>
    </w:p>
    <w:tbl>
      <w:tblPr>
        <w:tblStyle w:val="Tabel-Gitter"/>
        <w:tblW w:w="9918" w:type="dxa"/>
        <w:tblLook w:val="04A0" w:firstRow="1" w:lastRow="0" w:firstColumn="1" w:lastColumn="0" w:noHBand="0" w:noVBand="1"/>
      </w:tblPr>
      <w:tblGrid>
        <w:gridCol w:w="3397"/>
        <w:gridCol w:w="3261"/>
        <w:gridCol w:w="3260"/>
      </w:tblGrid>
      <w:tr w:rsidR="009A0126" w14:paraId="4875C031" w14:textId="77777777" w:rsidTr="00BB6621">
        <w:trPr>
          <w:trHeight w:val="581"/>
        </w:trPr>
        <w:tc>
          <w:tcPr>
            <w:tcW w:w="3397" w:type="dxa"/>
          </w:tcPr>
          <w:p w14:paraId="5F2FFBA2" w14:textId="77777777" w:rsidR="009A0126" w:rsidRPr="00C271AB" w:rsidRDefault="009A0126" w:rsidP="00895943">
            <w:pPr>
              <w:pStyle w:val="Brdtekst"/>
              <w:rPr>
                <w:b/>
                <w:bCs/>
              </w:rPr>
            </w:pPr>
            <w:r w:rsidRPr="00C271AB">
              <w:rPr>
                <w:b/>
                <w:bCs/>
              </w:rPr>
              <w:t>Situation</w:t>
            </w:r>
          </w:p>
        </w:tc>
        <w:tc>
          <w:tcPr>
            <w:tcW w:w="3261" w:type="dxa"/>
          </w:tcPr>
          <w:p w14:paraId="4ED554EF" w14:textId="77777777" w:rsidR="009A0126" w:rsidRPr="00C271AB" w:rsidRDefault="00CA0282" w:rsidP="00895943">
            <w:pPr>
              <w:pStyle w:val="Brdtekst"/>
              <w:rPr>
                <w:b/>
                <w:bCs/>
              </w:rPr>
            </w:pPr>
            <w:r>
              <w:rPr>
                <w:b/>
                <w:bCs/>
              </w:rPr>
              <w:t>Købende</w:t>
            </w:r>
            <w:r w:rsidR="009A0126" w:rsidRPr="00C271AB">
              <w:rPr>
                <w:b/>
                <w:bCs/>
              </w:rPr>
              <w:t xml:space="preserve"> virksomhed</w:t>
            </w:r>
          </w:p>
        </w:tc>
        <w:tc>
          <w:tcPr>
            <w:tcW w:w="3260" w:type="dxa"/>
          </w:tcPr>
          <w:p w14:paraId="692841EB" w14:textId="77777777" w:rsidR="009A0126" w:rsidRPr="00C271AB" w:rsidRDefault="009A0126" w:rsidP="00895943">
            <w:pPr>
              <w:pStyle w:val="Brdtekst"/>
              <w:rPr>
                <w:b/>
                <w:bCs/>
              </w:rPr>
            </w:pPr>
            <w:r w:rsidRPr="00C271AB">
              <w:rPr>
                <w:b/>
                <w:bCs/>
              </w:rPr>
              <w:t>Sælgende virksomhed</w:t>
            </w:r>
          </w:p>
        </w:tc>
      </w:tr>
      <w:tr w:rsidR="00DB5521" w14:paraId="362FE96B" w14:textId="77777777" w:rsidTr="00F31F44">
        <w:trPr>
          <w:trHeight w:val="581"/>
        </w:trPr>
        <w:tc>
          <w:tcPr>
            <w:tcW w:w="9918" w:type="dxa"/>
            <w:gridSpan w:val="3"/>
          </w:tcPr>
          <w:p w14:paraId="18BA17CE" w14:textId="14EF950E" w:rsidR="00DB5521" w:rsidRPr="00C271AB" w:rsidRDefault="00DB5521" w:rsidP="00DB5521">
            <w:pPr>
              <w:pStyle w:val="Brdtekst"/>
              <w:jc w:val="center"/>
              <w:rPr>
                <w:b/>
                <w:bCs/>
              </w:rPr>
            </w:pPr>
            <w:r>
              <w:rPr>
                <w:b/>
                <w:bCs/>
              </w:rPr>
              <w:t>Koncern-eksterne aktiviteter</w:t>
            </w:r>
          </w:p>
        </w:tc>
      </w:tr>
      <w:tr w:rsidR="00DB5521" w14:paraId="4A5F1097" w14:textId="77777777" w:rsidTr="00895943">
        <w:tc>
          <w:tcPr>
            <w:tcW w:w="3397" w:type="dxa"/>
          </w:tcPr>
          <w:p w14:paraId="685B0040" w14:textId="767B54BC" w:rsidR="00DB5521" w:rsidRDefault="00DB5521" w:rsidP="00DB5521">
            <w:pPr>
              <w:pStyle w:val="Brdtekst"/>
            </w:pPr>
            <w:r>
              <w:t>Køb af aktivitet (uden for koncernforhold), hvor transaktionen har retsvirkning senest den 9. marts 2020.</w:t>
            </w:r>
          </w:p>
        </w:tc>
        <w:tc>
          <w:tcPr>
            <w:tcW w:w="3261" w:type="dxa"/>
          </w:tcPr>
          <w:p w14:paraId="598AB62A" w14:textId="77777777" w:rsidR="00DB5521" w:rsidRDefault="00DB5521" w:rsidP="00DB5521">
            <w:pPr>
              <w:pStyle w:val="Brdtekst"/>
            </w:pPr>
            <w:r>
              <w:t>Medregner omsætning fra aktivitet i både referenceperiode og kompensationsperioden.</w:t>
            </w:r>
          </w:p>
          <w:p w14:paraId="397B50A9" w14:textId="77777777" w:rsidR="00DB5521" w:rsidRDefault="00DB5521" w:rsidP="00DB5521">
            <w:pPr>
              <w:pStyle w:val="Brdtekst"/>
            </w:pPr>
          </w:p>
          <w:p w14:paraId="545EBD8D" w14:textId="77777777" w:rsidR="00DB5521" w:rsidRDefault="00DB5521" w:rsidP="00DB5521">
            <w:pPr>
              <w:pStyle w:val="Brdtekst"/>
            </w:pPr>
            <w:r>
              <w:t>Medregner omkostninger for både den realiserede perioden og kompensationsperioden.</w:t>
            </w:r>
          </w:p>
          <w:p w14:paraId="4A092B58" w14:textId="66115812" w:rsidR="0059734E" w:rsidRDefault="0059734E" w:rsidP="00DB5521">
            <w:pPr>
              <w:pStyle w:val="Brdtekst"/>
            </w:pPr>
          </w:p>
        </w:tc>
        <w:tc>
          <w:tcPr>
            <w:tcW w:w="3260" w:type="dxa"/>
          </w:tcPr>
          <w:p w14:paraId="7C958EB6" w14:textId="77777777" w:rsidR="00DB5521" w:rsidRDefault="00DB5521" w:rsidP="00DB5521">
            <w:pPr>
              <w:pStyle w:val="Brdtekst"/>
            </w:pPr>
            <w:r>
              <w:t>Medregner ikke omsætning eller omkostninger vedrørende den frasolgte aktivitet.</w:t>
            </w:r>
          </w:p>
          <w:p w14:paraId="1090C7CB" w14:textId="77777777" w:rsidR="00DB5521" w:rsidRDefault="00DB5521" w:rsidP="00DB5521">
            <w:pPr>
              <w:pStyle w:val="Brdtekst"/>
            </w:pPr>
          </w:p>
          <w:p w14:paraId="5CD09E8B" w14:textId="1D4D6AF9" w:rsidR="00DB5521" w:rsidRDefault="00DB5521" w:rsidP="00DB5521">
            <w:pPr>
              <w:pStyle w:val="Brdtekst"/>
            </w:pPr>
            <w:r>
              <w:t>Sælgende virksomhed søger ikke om kompensation fsva. de overdragne aktiviteter.</w:t>
            </w:r>
          </w:p>
        </w:tc>
      </w:tr>
      <w:tr w:rsidR="00DB5521" w14:paraId="3E425CEC" w14:textId="77777777" w:rsidTr="00895943">
        <w:tc>
          <w:tcPr>
            <w:tcW w:w="3397" w:type="dxa"/>
          </w:tcPr>
          <w:p w14:paraId="3C0C3F62" w14:textId="685FC835" w:rsidR="00DB5521" w:rsidRDefault="00DB5521" w:rsidP="00DB5521">
            <w:pPr>
              <w:pStyle w:val="Brdtekst"/>
            </w:pPr>
            <w:r>
              <w:t xml:space="preserve">Køb af aktivitet (uden for koncernforhold) fra </w:t>
            </w:r>
            <w:r w:rsidR="00836E54">
              <w:t>med retsvirkning efter den 9. marts 2020</w:t>
            </w:r>
            <w:r w:rsidR="008231D8">
              <w:t>.</w:t>
            </w:r>
            <w:r w:rsidR="00836E54">
              <w:t xml:space="preserve"> </w:t>
            </w:r>
          </w:p>
        </w:tc>
        <w:tc>
          <w:tcPr>
            <w:tcW w:w="3261" w:type="dxa"/>
          </w:tcPr>
          <w:p w14:paraId="467CDA1E" w14:textId="6BD277E9" w:rsidR="00DB5521" w:rsidRDefault="00DB5521" w:rsidP="00DB5521">
            <w:pPr>
              <w:pStyle w:val="Brdtekst"/>
            </w:pPr>
            <w:r>
              <w:t xml:space="preserve">Medregner </w:t>
            </w:r>
            <w:r w:rsidR="005362E7">
              <w:t>alene</w:t>
            </w:r>
            <w:r w:rsidR="00E51CC5">
              <w:t xml:space="preserve"> </w:t>
            </w:r>
            <w:r>
              <w:t xml:space="preserve">omsætning fra aktivitet i </w:t>
            </w:r>
            <w:r w:rsidR="005362E7">
              <w:t xml:space="preserve">for den del af </w:t>
            </w:r>
            <w:r>
              <w:t>kompensationsperioden</w:t>
            </w:r>
            <w:r w:rsidR="005362E7">
              <w:t>, hvor aktiviteten har været ejet af virksomheden</w:t>
            </w:r>
            <w:r>
              <w:t>.</w:t>
            </w:r>
            <w:r w:rsidR="001A5CC0">
              <w:t xml:space="preserve"> Købende virksomhed kan medregne omsætning for den del af kompensationsperioden, hvor aktivitet har været ejet af anden virksomhed, hvis købende virksomhed kan dokumentere, at salgsprisen ikke tager højde for det tab, som den overdragne aktivitet har lidt under COVID-19</w:t>
            </w:r>
            <w:r w:rsidR="002C59DE">
              <w:t>.</w:t>
            </w:r>
          </w:p>
          <w:p w14:paraId="3EC87EE6" w14:textId="77777777" w:rsidR="00DB5521" w:rsidRDefault="00DB5521" w:rsidP="00DB5521">
            <w:pPr>
              <w:pStyle w:val="Brdtekst"/>
            </w:pPr>
          </w:p>
          <w:p w14:paraId="2CB91AC4" w14:textId="510457B8" w:rsidR="00DB5521" w:rsidRDefault="00DB5521" w:rsidP="00DB5521">
            <w:pPr>
              <w:pStyle w:val="Brdtekst"/>
            </w:pPr>
            <w:r>
              <w:t xml:space="preserve">Medregner </w:t>
            </w:r>
            <w:r w:rsidR="001A5CC0">
              <w:t xml:space="preserve">i så fald </w:t>
            </w:r>
            <w:r>
              <w:t>omkostninger for både den realiserede periode og kompensationsperioden.</w:t>
            </w:r>
          </w:p>
          <w:p w14:paraId="2EA6036A" w14:textId="31DDBD9E" w:rsidR="001A5CC0" w:rsidRDefault="001A5CC0" w:rsidP="00DB5521">
            <w:pPr>
              <w:pStyle w:val="Brdtekst"/>
            </w:pPr>
          </w:p>
          <w:p w14:paraId="5444A98B" w14:textId="3E880989" w:rsidR="00DB5521" w:rsidRDefault="001A5CC0" w:rsidP="00DB5521">
            <w:pPr>
              <w:pStyle w:val="Brdtekst"/>
            </w:pPr>
            <w:r>
              <w:t>En virksomhed stiftet efter 9. marts 2020 kan ikke ansøge om kompensation.</w:t>
            </w:r>
          </w:p>
          <w:p w14:paraId="13787276" w14:textId="5CD7D3D4" w:rsidR="00DB5521" w:rsidRDefault="00DB5521" w:rsidP="00DB5521">
            <w:pPr>
              <w:pStyle w:val="Brdtekst"/>
            </w:pPr>
          </w:p>
        </w:tc>
        <w:tc>
          <w:tcPr>
            <w:tcW w:w="3260" w:type="dxa"/>
          </w:tcPr>
          <w:p w14:paraId="68BAB1B2" w14:textId="77777777" w:rsidR="00DB5521" w:rsidRDefault="00DB5521" w:rsidP="00DB5521">
            <w:pPr>
              <w:pStyle w:val="Brdtekst"/>
            </w:pPr>
            <w:r>
              <w:t>Medregner ikke omsætning eller omkostninger vedrørende den frasolgte aktivitet.</w:t>
            </w:r>
          </w:p>
          <w:p w14:paraId="5D3FE6C2" w14:textId="77777777" w:rsidR="00DB5521" w:rsidRDefault="00DB5521" w:rsidP="00DB5521">
            <w:pPr>
              <w:pStyle w:val="Brdtekst"/>
            </w:pPr>
          </w:p>
          <w:p w14:paraId="0ECBDF4E" w14:textId="77848C4C" w:rsidR="00DB5521" w:rsidRDefault="00DB5521" w:rsidP="00DB5521">
            <w:pPr>
              <w:pStyle w:val="Brdtekst"/>
            </w:pPr>
            <w:r>
              <w:t>Sælgende virksomhed søger ikke om kompensation fsva. de overdragne aktiviteter.</w:t>
            </w:r>
          </w:p>
        </w:tc>
      </w:tr>
      <w:tr w:rsidR="00047CA8" w14:paraId="0298E2EA" w14:textId="77777777" w:rsidTr="00895943">
        <w:tc>
          <w:tcPr>
            <w:tcW w:w="3397" w:type="dxa"/>
          </w:tcPr>
          <w:p w14:paraId="47599A6E" w14:textId="237E6404" w:rsidR="00047CA8" w:rsidRDefault="00047CA8" w:rsidP="00047CA8">
            <w:pPr>
              <w:pStyle w:val="Brdtekst"/>
            </w:pPr>
            <w:r>
              <w:t xml:space="preserve">Fusion af virksomheder uden for koncernen </w:t>
            </w:r>
            <w:r w:rsidR="005362E7">
              <w:t xml:space="preserve">med retsvirkning </w:t>
            </w:r>
            <w:r>
              <w:t>senest den 9. marts 2020</w:t>
            </w:r>
            <w:r w:rsidR="008231D8">
              <w:t>.</w:t>
            </w:r>
          </w:p>
        </w:tc>
        <w:tc>
          <w:tcPr>
            <w:tcW w:w="3261" w:type="dxa"/>
          </w:tcPr>
          <w:p w14:paraId="08554E2A" w14:textId="77777777" w:rsidR="00047CA8" w:rsidRDefault="00047CA8" w:rsidP="00047CA8">
            <w:pPr>
              <w:pStyle w:val="Brdtekst"/>
            </w:pPr>
            <w:r>
              <w:t>Fortsættende virksomhed medregner omsætning fra aktivitet i både referenceperiode og kompensationsperioden.</w:t>
            </w:r>
          </w:p>
          <w:p w14:paraId="4BA44573" w14:textId="77777777" w:rsidR="00047CA8" w:rsidRDefault="00047CA8" w:rsidP="00047CA8">
            <w:pPr>
              <w:pStyle w:val="Brdtekst"/>
            </w:pPr>
          </w:p>
          <w:p w14:paraId="78091C59" w14:textId="77777777" w:rsidR="00047CA8" w:rsidRDefault="00047CA8" w:rsidP="00047CA8">
            <w:pPr>
              <w:pStyle w:val="Brdtekst"/>
            </w:pPr>
            <w:r>
              <w:t>Medregner omkostninger for både den realiserede periode og kompensationsperioden.</w:t>
            </w:r>
          </w:p>
          <w:p w14:paraId="53864B2C" w14:textId="03E2B05A" w:rsidR="00047CA8" w:rsidRDefault="00047CA8" w:rsidP="00047CA8">
            <w:pPr>
              <w:pStyle w:val="Brdtekst"/>
            </w:pPr>
          </w:p>
        </w:tc>
        <w:tc>
          <w:tcPr>
            <w:tcW w:w="3260" w:type="dxa"/>
          </w:tcPr>
          <w:p w14:paraId="61FEAF53" w14:textId="3F9DD2CF" w:rsidR="00047CA8" w:rsidRDefault="00047CA8" w:rsidP="00047CA8">
            <w:pPr>
              <w:pStyle w:val="Brdtekst"/>
            </w:pPr>
            <w:r>
              <w:t>Ophørende virksomhed ansøger ikke om kompensation.</w:t>
            </w:r>
          </w:p>
        </w:tc>
      </w:tr>
      <w:tr w:rsidR="006C7DEA" w14:paraId="424FFC36" w14:textId="77777777" w:rsidTr="00895943">
        <w:tc>
          <w:tcPr>
            <w:tcW w:w="3397" w:type="dxa"/>
          </w:tcPr>
          <w:p w14:paraId="101B2B78" w14:textId="737BBCB2" w:rsidR="006C7DEA" w:rsidRDefault="006C7DEA" w:rsidP="006C7DEA">
            <w:pPr>
              <w:pStyle w:val="Brdtekst"/>
            </w:pPr>
            <w:r>
              <w:t>Fusion af virksomheder uden for koncernen med retsvirkning efter 9. marts 2020.</w:t>
            </w:r>
          </w:p>
        </w:tc>
        <w:tc>
          <w:tcPr>
            <w:tcW w:w="3261" w:type="dxa"/>
          </w:tcPr>
          <w:p w14:paraId="6C00C406" w14:textId="48944220" w:rsidR="006C7DEA" w:rsidRDefault="006C7DEA" w:rsidP="006C7DEA">
            <w:pPr>
              <w:pStyle w:val="Brdtekst"/>
            </w:pPr>
            <w:r>
              <w:t xml:space="preserve">Fortsættende virksomhed medregner alene omsætning fra aktivitet for den del af kompensationsperioden, hvor aktiviteten har været </w:t>
            </w:r>
            <w:r>
              <w:lastRenderedPageBreak/>
              <w:t xml:space="preserve">ejet af virksomheden. </w:t>
            </w:r>
            <w:r w:rsidR="00161A73">
              <w:t xml:space="preserve">Fortsættende </w:t>
            </w:r>
            <w:r>
              <w:t xml:space="preserve">virksomhed kan medregne omsætning for den del af kompensationsperioden, hvor aktivitet har været ejet af anden virksomhed, hvis </w:t>
            </w:r>
            <w:r w:rsidR="00161A73">
              <w:t>fortsættende</w:t>
            </w:r>
            <w:r>
              <w:t xml:space="preserve"> virksomhed kan dokumentere, at salgsprisen ikke tager højde for det tab, som den overdragne aktivitet har lidt under COVID-19</w:t>
            </w:r>
            <w:r w:rsidR="00415708">
              <w:t>.</w:t>
            </w:r>
          </w:p>
          <w:p w14:paraId="746D14D6" w14:textId="77777777" w:rsidR="006C7DEA" w:rsidRDefault="006C7DEA" w:rsidP="006C7DEA">
            <w:pPr>
              <w:pStyle w:val="Brdtekst"/>
            </w:pPr>
          </w:p>
          <w:p w14:paraId="17C53CEC" w14:textId="77777777" w:rsidR="006C7DEA" w:rsidRDefault="006C7DEA" w:rsidP="006C7DEA">
            <w:pPr>
              <w:pStyle w:val="Brdtekst"/>
            </w:pPr>
            <w:r>
              <w:t>Medregner i så fald omkostninger for både den realiserede periode og kompensationsperioden.</w:t>
            </w:r>
          </w:p>
          <w:p w14:paraId="04BEE1DC" w14:textId="77777777" w:rsidR="006C7DEA" w:rsidRDefault="006C7DEA" w:rsidP="006C7DEA">
            <w:pPr>
              <w:pStyle w:val="Brdtekst"/>
            </w:pPr>
          </w:p>
          <w:p w14:paraId="29EB6A46" w14:textId="4E92A58C" w:rsidR="006C7DEA" w:rsidRDefault="006C7DEA" w:rsidP="006C7DEA">
            <w:pPr>
              <w:pStyle w:val="Brdtekst"/>
            </w:pPr>
            <w:r>
              <w:t>En virksomhed stiftet efter 9. marts 2020 kan ikke ansøge om kompensation.</w:t>
            </w:r>
            <w:r w:rsidR="00161A73">
              <w:rPr>
                <w:rStyle w:val="Fodnotehenvisning"/>
              </w:rPr>
              <w:footnoteReference w:id="11"/>
            </w:r>
          </w:p>
          <w:p w14:paraId="0F28A41E" w14:textId="23D68E5B" w:rsidR="006C7DEA" w:rsidRPr="006C7DEA" w:rsidRDefault="006C7DEA" w:rsidP="006C7DEA">
            <w:pPr>
              <w:pStyle w:val="Brdtekst"/>
            </w:pPr>
          </w:p>
        </w:tc>
        <w:tc>
          <w:tcPr>
            <w:tcW w:w="3260" w:type="dxa"/>
          </w:tcPr>
          <w:p w14:paraId="252CCA0C" w14:textId="77777777" w:rsidR="006C7DEA" w:rsidRDefault="006C7DEA" w:rsidP="006C7DEA">
            <w:pPr>
              <w:pStyle w:val="Brdtekst"/>
            </w:pPr>
            <w:r>
              <w:lastRenderedPageBreak/>
              <w:t>Ophørende virksomhed ansøger ikke om kompensation.</w:t>
            </w:r>
          </w:p>
        </w:tc>
      </w:tr>
      <w:tr w:rsidR="006C7DEA" w14:paraId="4430BC5C" w14:textId="77777777" w:rsidTr="00895943">
        <w:tc>
          <w:tcPr>
            <w:tcW w:w="3397" w:type="dxa"/>
          </w:tcPr>
          <w:p w14:paraId="217F7735" w14:textId="1008D8F7" w:rsidR="006C7DEA" w:rsidRDefault="006C7DEA" w:rsidP="006C7DEA">
            <w:pPr>
              <w:pStyle w:val="Brdtekst"/>
            </w:pPr>
            <w:r>
              <w:t>Spaltning af virksomheden uden for koncernen med retsvirkning senest den 9. marts 2020.</w:t>
            </w:r>
          </w:p>
        </w:tc>
        <w:tc>
          <w:tcPr>
            <w:tcW w:w="3261" w:type="dxa"/>
          </w:tcPr>
          <w:p w14:paraId="015BF09C" w14:textId="77777777" w:rsidR="006C7DEA" w:rsidRPr="00746A87" w:rsidRDefault="006C7DEA" w:rsidP="006C7DEA">
            <w:pPr>
              <w:pStyle w:val="Brdtekst"/>
            </w:pPr>
            <w:r w:rsidRPr="00746A87">
              <w:t>Modtageren medregner omsætning fra den modtagne aktivitet i både referenceperiode og kompensationsperioden.</w:t>
            </w:r>
          </w:p>
          <w:p w14:paraId="3F2A34CA" w14:textId="77777777" w:rsidR="006C7DEA" w:rsidRPr="006C7DEA" w:rsidRDefault="006C7DEA" w:rsidP="006C7DEA">
            <w:pPr>
              <w:pStyle w:val="Brdtekst"/>
            </w:pPr>
          </w:p>
          <w:p w14:paraId="32723ABD" w14:textId="77777777" w:rsidR="006C7DEA" w:rsidRPr="00E91728" w:rsidRDefault="006C7DEA" w:rsidP="006C7DEA">
            <w:pPr>
              <w:pStyle w:val="Brdtekst"/>
            </w:pPr>
            <w:r w:rsidRPr="0016568C">
              <w:t>Medregner omkostninger for både den realiserede periode og kompensationsperioden.</w:t>
            </w:r>
          </w:p>
          <w:p w14:paraId="320CE8DF" w14:textId="4761DFCE" w:rsidR="006C7DEA" w:rsidRPr="00746A87" w:rsidRDefault="006C7DEA" w:rsidP="006C7DEA">
            <w:pPr>
              <w:pStyle w:val="Brdtekst"/>
            </w:pPr>
          </w:p>
        </w:tc>
        <w:tc>
          <w:tcPr>
            <w:tcW w:w="3260" w:type="dxa"/>
          </w:tcPr>
          <w:p w14:paraId="6A4B5C96" w14:textId="77777777" w:rsidR="006C7DEA" w:rsidRDefault="006C7DEA" w:rsidP="006C7DEA">
            <w:pPr>
              <w:pStyle w:val="Brdtekst"/>
            </w:pPr>
            <w:r>
              <w:t xml:space="preserve">Afgivende virksomhed medregner ikke omsætning eller omkostninger vedrørende den udspaltede aktivitet. </w:t>
            </w:r>
          </w:p>
          <w:p w14:paraId="682BD2FC" w14:textId="77777777" w:rsidR="006C7DEA" w:rsidRDefault="006C7DEA" w:rsidP="006C7DEA">
            <w:pPr>
              <w:pStyle w:val="Brdtekst"/>
            </w:pPr>
          </w:p>
          <w:p w14:paraId="344E8AD4" w14:textId="744A0E59" w:rsidR="006C7DEA" w:rsidRDefault="006C7DEA" w:rsidP="006C7DEA">
            <w:pPr>
              <w:pStyle w:val="Brdtekst"/>
            </w:pPr>
            <w:r>
              <w:t>Afgivende virksomhed søger ikke om kompensation for de udspaltede aktiver/aktiviteter.</w:t>
            </w:r>
          </w:p>
        </w:tc>
      </w:tr>
      <w:tr w:rsidR="006C7DEA" w14:paraId="1EE6505F" w14:textId="77777777" w:rsidTr="00895943">
        <w:tc>
          <w:tcPr>
            <w:tcW w:w="3397" w:type="dxa"/>
          </w:tcPr>
          <w:p w14:paraId="73E101C9" w14:textId="2DCCE898" w:rsidR="006C7DEA" w:rsidRDefault="006C7DEA" w:rsidP="006C7DEA">
            <w:pPr>
              <w:pStyle w:val="Brdtekst"/>
            </w:pPr>
            <w:r>
              <w:t xml:space="preserve">Spaltning af virksomheder uden for koncernen (udspaltning til virksomhed uden for koncernen) med retsvirkning </w:t>
            </w:r>
            <w:r w:rsidR="00161A73">
              <w:t>efter</w:t>
            </w:r>
            <w:r>
              <w:t xml:space="preserve"> den 9. marts 2020. </w:t>
            </w:r>
          </w:p>
        </w:tc>
        <w:tc>
          <w:tcPr>
            <w:tcW w:w="3261" w:type="dxa"/>
          </w:tcPr>
          <w:p w14:paraId="2BE0826F" w14:textId="0BEA36A9" w:rsidR="00161A73" w:rsidRDefault="006C7DEA" w:rsidP="00161A73">
            <w:pPr>
              <w:pStyle w:val="Brdtekst"/>
            </w:pPr>
            <w:r>
              <w:t xml:space="preserve">Modtageren </w:t>
            </w:r>
            <w:r w:rsidR="00161A73">
              <w:t>medregner alene omsætning fra aktivitet for den del af kompensationsperioden, hvor aktiviteten har været ejet af virksomheden. Fortsættende virksomhed kan medregne omsætning for den del af kompensationsperioden, hvor aktivitet har været ejet af anden virksomhed, hvis fortsættende virksomhed kan dokumentere, at salgsprisen ikke tager højde for det tab, som den overdragne aktivitet har lidt under COVID-19</w:t>
            </w:r>
            <w:r w:rsidR="000C3AC4">
              <w:t>.</w:t>
            </w:r>
          </w:p>
          <w:p w14:paraId="5EF8A694" w14:textId="77777777" w:rsidR="00161A73" w:rsidRDefault="00161A73" w:rsidP="00161A73">
            <w:pPr>
              <w:pStyle w:val="Brdtekst"/>
            </w:pPr>
          </w:p>
          <w:p w14:paraId="041B55D5" w14:textId="77777777" w:rsidR="00161A73" w:rsidRDefault="00161A73" w:rsidP="00161A73">
            <w:pPr>
              <w:pStyle w:val="Brdtekst"/>
            </w:pPr>
            <w:r>
              <w:t>Medregner i så fald omkostninger for både den realiserede periode og kompensationsperioden.</w:t>
            </w:r>
          </w:p>
          <w:p w14:paraId="27B88C98" w14:textId="77777777" w:rsidR="00161A73" w:rsidRDefault="00161A73" w:rsidP="00161A73">
            <w:pPr>
              <w:pStyle w:val="Brdtekst"/>
            </w:pPr>
          </w:p>
          <w:p w14:paraId="46AF2369" w14:textId="31AF0ED6" w:rsidR="006C7DEA" w:rsidRDefault="00161A73" w:rsidP="006C7DEA">
            <w:pPr>
              <w:pStyle w:val="Brdtekst"/>
            </w:pPr>
            <w:r>
              <w:t>En virksomhed stiftet efter 9. marts 2020 kan ikke ansøge om kompensation</w:t>
            </w:r>
          </w:p>
        </w:tc>
        <w:tc>
          <w:tcPr>
            <w:tcW w:w="3260" w:type="dxa"/>
          </w:tcPr>
          <w:p w14:paraId="06A2F36A" w14:textId="77777777" w:rsidR="006C7DEA" w:rsidRDefault="006C7DEA" w:rsidP="006C7DEA">
            <w:pPr>
              <w:pStyle w:val="Brdtekst"/>
            </w:pPr>
            <w:r>
              <w:lastRenderedPageBreak/>
              <w:t>Afgiver/sælger af aktiviteten medregner ikke omsætning eller omkostninger vedrørende den udspaltede aktivitet.</w:t>
            </w:r>
          </w:p>
          <w:p w14:paraId="47EE6004" w14:textId="1216901A" w:rsidR="006C7DEA" w:rsidRDefault="006C7DEA" w:rsidP="006C7DEA">
            <w:pPr>
              <w:pStyle w:val="Brdtekst"/>
            </w:pPr>
          </w:p>
        </w:tc>
      </w:tr>
      <w:tr w:rsidR="006C7DEA" w14:paraId="12F3BDE3" w14:textId="77777777" w:rsidTr="00F53FFF">
        <w:tc>
          <w:tcPr>
            <w:tcW w:w="9918" w:type="dxa"/>
            <w:gridSpan w:val="3"/>
          </w:tcPr>
          <w:p w14:paraId="684750CD" w14:textId="3EDA8F79" w:rsidR="006C7DEA" w:rsidRPr="00DB5521" w:rsidRDefault="006C7DEA" w:rsidP="006C7DEA">
            <w:pPr>
              <w:pStyle w:val="Brdtekst"/>
              <w:jc w:val="center"/>
              <w:rPr>
                <w:b/>
              </w:rPr>
            </w:pPr>
            <w:r>
              <w:rPr>
                <w:b/>
              </w:rPr>
              <w:t>Koncern-interne aktiviteter</w:t>
            </w:r>
          </w:p>
        </w:tc>
      </w:tr>
      <w:tr w:rsidR="006C7DEA" w14:paraId="758BC1AB" w14:textId="77777777" w:rsidTr="00895943">
        <w:tc>
          <w:tcPr>
            <w:tcW w:w="3397" w:type="dxa"/>
          </w:tcPr>
          <w:p w14:paraId="18BF99CE" w14:textId="18756F23" w:rsidR="006C7DEA" w:rsidRDefault="006C7DEA" w:rsidP="006C7DEA">
            <w:pPr>
              <w:pStyle w:val="Brdtekst"/>
            </w:pPr>
            <w:r>
              <w:t>Køb af aktivitet inden for koncernen, hvor transaktionen har retsvirkning senest den 9. marts 2020.</w:t>
            </w:r>
          </w:p>
        </w:tc>
        <w:tc>
          <w:tcPr>
            <w:tcW w:w="3261" w:type="dxa"/>
          </w:tcPr>
          <w:p w14:paraId="6C35505A" w14:textId="77777777" w:rsidR="006C7DEA" w:rsidRDefault="006C7DEA" w:rsidP="006C7DEA">
            <w:pPr>
              <w:pStyle w:val="Brdtekst"/>
            </w:pPr>
            <w:r>
              <w:t>Medregner omsætning fra aktivitet i både referenceperiode og kompensationsperioden.</w:t>
            </w:r>
          </w:p>
          <w:p w14:paraId="54588734" w14:textId="77777777" w:rsidR="006C7DEA" w:rsidRDefault="006C7DEA" w:rsidP="006C7DEA">
            <w:pPr>
              <w:pStyle w:val="Brdtekst"/>
            </w:pPr>
          </w:p>
          <w:p w14:paraId="097C26A4" w14:textId="6347AF21" w:rsidR="006C7DEA" w:rsidRDefault="006C7DEA" w:rsidP="006C7DEA">
            <w:pPr>
              <w:pStyle w:val="Brdtekst"/>
            </w:pPr>
            <w:r>
              <w:t>Medregner omkostninger for både den realiserede perioden og kompensationsperioden.</w:t>
            </w:r>
          </w:p>
        </w:tc>
        <w:tc>
          <w:tcPr>
            <w:tcW w:w="3260" w:type="dxa"/>
          </w:tcPr>
          <w:p w14:paraId="50166BA4" w14:textId="77777777" w:rsidR="006C7DEA" w:rsidRDefault="006C7DEA" w:rsidP="006C7DEA">
            <w:pPr>
              <w:pStyle w:val="Brdtekst"/>
            </w:pPr>
            <w:r>
              <w:t>Medregner ikke omsætning eller omkostninger vedrørende den frasolgte aktivitet.</w:t>
            </w:r>
          </w:p>
          <w:p w14:paraId="072C4694" w14:textId="77777777" w:rsidR="006C7DEA" w:rsidRDefault="006C7DEA" w:rsidP="006C7DEA">
            <w:pPr>
              <w:pStyle w:val="Brdtekst"/>
            </w:pPr>
          </w:p>
          <w:p w14:paraId="7AE31AE5" w14:textId="489C40A1" w:rsidR="006C7DEA" w:rsidRDefault="006C7DEA" w:rsidP="006C7DEA">
            <w:pPr>
              <w:pStyle w:val="Brdtekst"/>
            </w:pPr>
            <w:r>
              <w:t>Sælgende virksomhed søger ikke om kompensation fsva. de overdragne aktiviteter.</w:t>
            </w:r>
          </w:p>
        </w:tc>
      </w:tr>
      <w:tr w:rsidR="006C7DEA" w14:paraId="5F0BE357" w14:textId="77777777" w:rsidTr="00895943">
        <w:tc>
          <w:tcPr>
            <w:tcW w:w="3397" w:type="dxa"/>
          </w:tcPr>
          <w:p w14:paraId="33E4DC55" w14:textId="2D68486A" w:rsidR="006C7DEA" w:rsidRDefault="006C7DEA" w:rsidP="006C7DEA">
            <w:pPr>
              <w:pStyle w:val="Brdtekst"/>
            </w:pPr>
            <w:r>
              <w:t>Køb af aktivitet inden for koncernen, hvor transaktionen har retsvirkning efter den 9. marts 2020.</w:t>
            </w:r>
          </w:p>
        </w:tc>
        <w:tc>
          <w:tcPr>
            <w:tcW w:w="3261" w:type="dxa"/>
          </w:tcPr>
          <w:p w14:paraId="14AEE1E1" w14:textId="77777777" w:rsidR="006C7DEA" w:rsidRDefault="006C7DEA" w:rsidP="006C7DEA">
            <w:pPr>
              <w:pStyle w:val="Brdtekst"/>
            </w:pPr>
            <w:r>
              <w:t>Medregner ikke omsætning eller omkostninger vedrørende den tilkøbte aktivitet.</w:t>
            </w:r>
          </w:p>
          <w:p w14:paraId="141C2046" w14:textId="77777777" w:rsidR="006C7DEA" w:rsidRDefault="006C7DEA" w:rsidP="006C7DEA">
            <w:pPr>
              <w:pStyle w:val="Brdtekst"/>
            </w:pPr>
          </w:p>
          <w:p w14:paraId="36AC2ED4" w14:textId="77777777" w:rsidR="006C7DEA" w:rsidRDefault="006C7DEA" w:rsidP="006C7DEA">
            <w:pPr>
              <w:pStyle w:val="Brdtekst"/>
            </w:pPr>
            <w:r>
              <w:t>Dermed udvides loftet på 82,5/110 mio. kr. ikke til de modtagne virksomheder.</w:t>
            </w:r>
          </w:p>
          <w:p w14:paraId="7802BB75" w14:textId="77777777" w:rsidR="00BD7A7F" w:rsidRDefault="00BD7A7F" w:rsidP="006C7DEA">
            <w:pPr>
              <w:pStyle w:val="Brdtekst"/>
            </w:pPr>
          </w:p>
          <w:p w14:paraId="04CCA842" w14:textId="77777777" w:rsidR="00142CCF" w:rsidRDefault="00142CCF" w:rsidP="00142CCF">
            <w:pPr>
              <w:pStyle w:val="Brdtekst"/>
            </w:pPr>
            <w:r w:rsidRPr="00FE1570">
              <w:t>En virksomhed stiftet efter 9. marts 2020 kan ikke ansøge om kompensation.</w:t>
            </w:r>
          </w:p>
          <w:p w14:paraId="6DE58424" w14:textId="41DC7E54" w:rsidR="00BD7A7F" w:rsidRDefault="00BD7A7F" w:rsidP="006C7DEA">
            <w:pPr>
              <w:pStyle w:val="Brdtekst"/>
            </w:pPr>
          </w:p>
        </w:tc>
        <w:tc>
          <w:tcPr>
            <w:tcW w:w="3260" w:type="dxa"/>
          </w:tcPr>
          <w:p w14:paraId="5481E2A5" w14:textId="400094FD" w:rsidR="006C7DEA" w:rsidRDefault="006C7DEA" w:rsidP="006C7DEA">
            <w:pPr>
              <w:pStyle w:val="Brdtekst"/>
            </w:pPr>
            <w:r>
              <w:t>Medregner omsætning fra aktivitet i både referenceperiode og kompensationsperioden.</w:t>
            </w:r>
          </w:p>
          <w:p w14:paraId="15E0C72F" w14:textId="77777777" w:rsidR="006C7DEA" w:rsidRDefault="006C7DEA" w:rsidP="006C7DEA">
            <w:pPr>
              <w:pStyle w:val="Brdtekst"/>
            </w:pPr>
          </w:p>
          <w:p w14:paraId="6B46177C" w14:textId="62B3FFDC" w:rsidR="006C7DEA" w:rsidRDefault="006C7DEA" w:rsidP="006C7DEA">
            <w:pPr>
              <w:pStyle w:val="Brdtekst"/>
            </w:pPr>
            <w:r>
              <w:t>Medregner omkostninger for både den realiserede perioden og kompensationsperioden.</w:t>
            </w:r>
          </w:p>
          <w:p w14:paraId="7AFFDFD6" w14:textId="77777777" w:rsidR="006C7DEA" w:rsidRDefault="006C7DEA" w:rsidP="006C7DEA">
            <w:pPr>
              <w:pStyle w:val="Brdtekst"/>
            </w:pPr>
          </w:p>
          <w:p w14:paraId="190B3C10" w14:textId="453B153F" w:rsidR="006C7DEA" w:rsidRDefault="006C7DEA" w:rsidP="006C7DEA">
            <w:pPr>
              <w:pStyle w:val="Brdtekst"/>
            </w:pPr>
            <w:r>
              <w:t>Loftet på 82,5/110 mio. kr. gælder ”hele” virksomheden som før omstruktureringen.</w:t>
            </w:r>
          </w:p>
        </w:tc>
      </w:tr>
      <w:tr w:rsidR="006C7DEA" w14:paraId="3114427A" w14:textId="77777777" w:rsidTr="00895943">
        <w:tc>
          <w:tcPr>
            <w:tcW w:w="3397" w:type="dxa"/>
          </w:tcPr>
          <w:p w14:paraId="14356685" w14:textId="2CF2BF99" w:rsidR="006C7DEA" w:rsidRDefault="006C7DEA" w:rsidP="006C7DEA">
            <w:pPr>
              <w:pStyle w:val="Brdtekst"/>
            </w:pPr>
            <w:r>
              <w:t>Fusion af virksomheder inden for koncernen senest den 9. marts 2020</w:t>
            </w:r>
          </w:p>
        </w:tc>
        <w:tc>
          <w:tcPr>
            <w:tcW w:w="3261" w:type="dxa"/>
          </w:tcPr>
          <w:p w14:paraId="77AD26F9" w14:textId="77777777" w:rsidR="006C7DEA" w:rsidRDefault="006C7DEA" w:rsidP="006C7DEA">
            <w:pPr>
              <w:pStyle w:val="Brdtekst"/>
            </w:pPr>
            <w:r>
              <w:t>Fortsættende virksomhed medregner omsætning fra aktivitet i både referenceperiode og kompensationsperioden.</w:t>
            </w:r>
          </w:p>
          <w:p w14:paraId="48BD08DB" w14:textId="77777777" w:rsidR="006C7DEA" w:rsidRDefault="006C7DEA" w:rsidP="006C7DEA">
            <w:pPr>
              <w:pStyle w:val="Brdtekst"/>
            </w:pPr>
          </w:p>
          <w:p w14:paraId="170990B4" w14:textId="42E74112" w:rsidR="006C7DEA" w:rsidRDefault="006C7DEA" w:rsidP="006C7DEA">
            <w:pPr>
              <w:pStyle w:val="Brdtekst"/>
            </w:pPr>
            <w:r>
              <w:t>Medregner omkostninger for både den realiserede periode og kompensationsperioden.</w:t>
            </w:r>
          </w:p>
          <w:p w14:paraId="3CB8203D" w14:textId="7EB98FAF" w:rsidR="00BD7A7F" w:rsidRDefault="00BD7A7F" w:rsidP="006C7DEA">
            <w:pPr>
              <w:pStyle w:val="Brdtekst"/>
            </w:pPr>
          </w:p>
          <w:p w14:paraId="5FAAC6F2" w14:textId="77777777" w:rsidR="006C7DEA" w:rsidRDefault="006C7DEA" w:rsidP="00871BE8">
            <w:pPr>
              <w:pStyle w:val="Brdtekst"/>
            </w:pPr>
          </w:p>
        </w:tc>
        <w:tc>
          <w:tcPr>
            <w:tcW w:w="3260" w:type="dxa"/>
          </w:tcPr>
          <w:p w14:paraId="359F0875" w14:textId="65010661" w:rsidR="006C7DEA" w:rsidRDefault="006C7DEA" w:rsidP="006C7DEA">
            <w:pPr>
              <w:pStyle w:val="Brdtekst"/>
            </w:pPr>
            <w:r>
              <w:t>Ophørende virksomhed ansøger ikke om kompensation.</w:t>
            </w:r>
          </w:p>
        </w:tc>
      </w:tr>
      <w:tr w:rsidR="006C7DEA" w14:paraId="1E1D81B3" w14:textId="77777777" w:rsidTr="00895943">
        <w:tc>
          <w:tcPr>
            <w:tcW w:w="3397" w:type="dxa"/>
          </w:tcPr>
          <w:p w14:paraId="5AD612CC" w14:textId="735EB1E5" w:rsidR="006C7DEA" w:rsidRDefault="006C7DEA" w:rsidP="006C7DEA">
            <w:pPr>
              <w:pStyle w:val="Brdtekst"/>
            </w:pPr>
            <w:r>
              <w:t>Fusion af virksomheder inden for koncernen efter den 9. marts 2020</w:t>
            </w:r>
          </w:p>
        </w:tc>
        <w:tc>
          <w:tcPr>
            <w:tcW w:w="3261" w:type="dxa"/>
          </w:tcPr>
          <w:p w14:paraId="2149D202" w14:textId="7F72CA56" w:rsidR="006C7DEA" w:rsidRDefault="006C7DEA" w:rsidP="006C7DEA">
            <w:pPr>
              <w:pStyle w:val="Brdtekst"/>
            </w:pPr>
            <w:r>
              <w:t>Fortsættende virksomhed medregner omsætning og omkostninger som om, at fusion ikke var foretaget</w:t>
            </w:r>
          </w:p>
          <w:p w14:paraId="31C9F0A7" w14:textId="77777777" w:rsidR="00BD7A7F" w:rsidRDefault="00BD7A7F" w:rsidP="006C7DEA">
            <w:pPr>
              <w:pStyle w:val="Brdtekst"/>
            </w:pPr>
          </w:p>
          <w:p w14:paraId="619BF74C" w14:textId="280A64CE" w:rsidR="00BD7A7F" w:rsidRDefault="00BD7A7F" w:rsidP="005D0927">
            <w:pPr>
              <w:pStyle w:val="Brdtekst"/>
            </w:pPr>
          </w:p>
        </w:tc>
        <w:tc>
          <w:tcPr>
            <w:tcW w:w="3260" w:type="dxa"/>
          </w:tcPr>
          <w:p w14:paraId="0A9565B1" w14:textId="2E6B786F" w:rsidR="006C7DEA" w:rsidRPr="00FE1570" w:rsidRDefault="006C7DEA" w:rsidP="006C7DEA">
            <w:pPr>
              <w:pStyle w:val="Brdtekst"/>
            </w:pPr>
            <w:r w:rsidRPr="00FE1570">
              <w:t>Ophørende virksomhed medregner omsætning og omkostninger som om, at fusion ikke var foretaget.</w:t>
            </w:r>
          </w:p>
          <w:p w14:paraId="206AE9CE" w14:textId="77777777" w:rsidR="006C7DEA" w:rsidRPr="00FE1570" w:rsidRDefault="006C7DEA" w:rsidP="006C7DEA">
            <w:pPr>
              <w:pStyle w:val="Brdtekst"/>
            </w:pPr>
          </w:p>
          <w:p w14:paraId="376AFA9F" w14:textId="409847A5" w:rsidR="006C7DEA" w:rsidRPr="00FE1570" w:rsidRDefault="006C7DEA" w:rsidP="006C7DEA">
            <w:pPr>
              <w:pStyle w:val="Brdtekst"/>
            </w:pPr>
            <w:r w:rsidRPr="00FE1570">
              <w:t>Kompensation udbetales til den fortsættende virksomhed, hvis virksomheden er ophørt på udbetalingstidspunktet.</w:t>
            </w:r>
          </w:p>
        </w:tc>
      </w:tr>
      <w:tr w:rsidR="006C7DEA" w14:paraId="2016CC21" w14:textId="77777777" w:rsidTr="00895943">
        <w:tc>
          <w:tcPr>
            <w:tcW w:w="3397" w:type="dxa"/>
          </w:tcPr>
          <w:p w14:paraId="7E9ADFA0" w14:textId="623128D8" w:rsidR="006C7DEA" w:rsidRDefault="006C7DEA" w:rsidP="006C7DEA">
            <w:pPr>
              <w:pStyle w:val="Brdtekst"/>
            </w:pPr>
            <w:r>
              <w:t>Spaltning af virksomheden inden for koncernen med retsvirkning senest den 9. marts 2020</w:t>
            </w:r>
          </w:p>
        </w:tc>
        <w:tc>
          <w:tcPr>
            <w:tcW w:w="3261" w:type="dxa"/>
          </w:tcPr>
          <w:p w14:paraId="12F8C8C7" w14:textId="22408A38" w:rsidR="006C7DEA" w:rsidRDefault="006C7DEA" w:rsidP="006C7DEA">
            <w:pPr>
              <w:pStyle w:val="Brdtekst"/>
            </w:pPr>
            <w:r>
              <w:t>Modtageren medregner omsætning fra den modtagne aktivitet i både referenceperiode og kompensationsperioden.</w:t>
            </w:r>
          </w:p>
          <w:p w14:paraId="6D3B39C1" w14:textId="77777777" w:rsidR="006C7DEA" w:rsidRDefault="006C7DEA" w:rsidP="006C7DEA">
            <w:pPr>
              <w:pStyle w:val="Brdtekst"/>
            </w:pPr>
          </w:p>
          <w:p w14:paraId="1681E9D9" w14:textId="14239B8D" w:rsidR="006C7DEA" w:rsidRDefault="006C7DEA" w:rsidP="006C7DEA">
            <w:pPr>
              <w:pStyle w:val="Brdtekst"/>
            </w:pPr>
            <w:r>
              <w:lastRenderedPageBreak/>
              <w:t>Medregner omkostninger for både den realiserede periode og kompensationsperioden.</w:t>
            </w:r>
          </w:p>
        </w:tc>
        <w:tc>
          <w:tcPr>
            <w:tcW w:w="3260" w:type="dxa"/>
          </w:tcPr>
          <w:p w14:paraId="35131C35" w14:textId="77777777" w:rsidR="006C7DEA" w:rsidRPr="00FE1570" w:rsidRDefault="006C7DEA" w:rsidP="006C7DEA">
            <w:pPr>
              <w:pStyle w:val="Brdtekst"/>
            </w:pPr>
            <w:r w:rsidRPr="00FE1570">
              <w:lastRenderedPageBreak/>
              <w:t xml:space="preserve">Afgivende virksomhed medregner ikke omsætning eller omkostninger vedrørende den udspaltede aktivitet. </w:t>
            </w:r>
          </w:p>
          <w:p w14:paraId="392DE8A2" w14:textId="77777777" w:rsidR="006C7DEA" w:rsidRPr="00FE1570" w:rsidRDefault="006C7DEA" w:rsidP="006C7DEA">
            <w:pPr>
              <w:pStyle w:val="Brdtekst"/>
            </w:pPr>
          </w:p>
          <w:p w14:paraId="10F4F2E4" w14:textId="31425E5A" w:rsidR="006C7DEA" w:rsidRPr="00FE1570" w:rsidRDefault="006C7DEA" w:rsidP="006C7DEA">
            <w:pPr>
              <w:pStyle w:val="Brdtekst"/>
            </w:pPr>
            <w:r w:rsidRPr="00FE1570">
              <w:lastRenderedPageBreak/>
              <w:t>Afgivende virksomhed søger ikke om kompensation for de udspaltede aktiver/aktiviteter.</w:t>
            </w:r>
          </w:p>
        </w:tc>
      </w:tr>
      <w:tr w:rsidR="006C7DEA" w14:paraId="1CBE20E3" w14:textId="77777777" w:rsidTr="00895943">
        <w:tc>
          <w:tcPr>
            <w:tcW w:w="3397" w:type="dxa"/>
          </w:tcPr>
          <w:p w14:paraId="50502032" w14:textId="5A2A71D1" w:rsidR="006C7DEA" w:rsidRDefault="006C7DEA" w:rsidP="006C7DEA">
            <w:pPr>
              <w:pStyle w:val="Brdtekst"/>
            </w:pPr>
            <w:r>
              <w:lastRenderedPageBreak/>
              <w:t>Spaltning af virksomheden inden for koncernen med retsvirkning efter den 9. marts 2020</w:t>
            </w:r>
          </w:p>
        </w:tc>
        <w:tc>
          <w:tcPr>
            <w:tcW w:w="3261" w:type="dxa"/>
          </w:tcPr>
          <w:p w14:paraId="39B8F089" w14:textId="77777777" w:rsidR="006C7DEA" w:rsidRDefault="006C7DEA" w:rsidP="006C7DEA">
            <w:pPr>
              <w:pStyle w:val="Brdtekst"/>
            </w:pPr>
            <w:r>
              <w:t>Modtager ansøger ikke om kompensation.</w:t>
            </w:r>
          </w:p>
          <w:p w14:paraId="52EFC34C" w14:textId="77777777" w:rsidR="005D0927" w:rsidRDefault="005D0927" w:rsidP="006C7DEA">
            <w:pPr>
              <w:pStyle w:val="Brdtekst"/>
            </w:pPr>
          </w:p>
          <w:p w14:paraId="2CF00172" w14:textId="06F07CC8" w:rsidR="005D0927" w:rsidRDefault="005D0927" w:rsidP="005D0927">
            <w:pPr>
              <w:pStyle w:val="Brdtekst"/>
            </w:pPr>
          </w:p>
        </w:tc>
        <w:tc>
          <w:tcPr>
            <w:tcW w:w="3260" w:type="dxa"/>
          </w:tcPr>
          <w:p w14:paraId="7D035312" w14:textId="48B80FB8" w:rsidR="006C7DEA" w:rsidRPr="00FE1570" w:rsidRDefault="006C7DEA" w:rsidP="006C7DEA">
            <w:pPr>
              <w:pStyle w:val="Brdtekst"/>
            </w:pPr>
            <w:r w:rsidRPr="00FE1570">
              <w:t>Afgivende virksomhed opgør omsætning og omkostninger som om, at spaltningen ikke var foretaget.</w:t>
            </w:r>
          </w:p>
          <w:p w14:paraId="0396E549" w14:textId="77777777" w:rsidR="006C7DEA" w:rsidRPr="00FE1570" w:rsidRDefault="006C7DEA" w:rsidP="006C7DEA">
            <w:pPr>
              <w:pStyle w:val="Brdtekst"/>
            </w:pPr>
          </w:p>
          <w:p w14:paraId="0E743FBE" w14:textId="4EE6CBDA" w:rsidR="006C7DEA" w:rsidRPr="00FE1570" w:rsidRDefault="006C7DEA" w:rsidP="006C7DEA">
            <w:pPr>
              <w:pStyle w:val="Brdtekst"/>
            </w:pPr>
            <w:r w:rsidRPr="00FE1570">
              <w:t>Er afgivne virksomhed ophørt udbetales kompensation til et af de modtagne selskaber.</w:t>
            </w:r>
          </w:p>
        </w:tc>
      </w:tr>
    </w:tbl>
    <w:p w14:paraId="480DDB5C" w14:textId="77777777" w:rsidR="009A0126" w:rsidRPr="00F22AE7" w:rsidRDefault="009A0126" w:rsidP="009A0126">
      <w:pPr>
        <w:pStyle w:val="Brdtekst"/>
      </w:pPr>
    </w:p>
    <w:p w14:paraId="56A5217A" w14:textId="77777777" w:rsidR="009A0126" w:rsidRDefault="009A0126" w:rsidP="009A0126">
      <w:pPr>
        <w:pStyle w:val="Brdtekst"/>
      </w:pPr>
    </w:p>
    <w:p w14:paraId="180222FC" w14:textId="77777777" w:rsidR="009A0126" w:rsidRPr="00293DF9" w:rsidRDefault="00293DF9" w:rsidP="003254FC">
      <w:pPr>
        <w:pStyle w:val="Brdtekst"/>
        <w:jc w:val="both"/>
        <w:rPr>
          <w:b/>
          <w:bCs/>
        </w:rPr>
      </w:pPr>
      <w:r w:rsidRPr="00293DF9">
        <w:rPr>
          <w:b/>
          <w:bCs/>
        </w:rPr>
        <w:t>Dokumentationsmæssige forhold</w:t>
      </w:r>
    </w:p>
    <w:p w14:paraId="2504D2F9" w14:textId="77777777" w:rsidR="00293DF9" w:rsidRDefault="00293DF9" w:rsidP="003254FC">
      <w:pPr>
        <w:pStyle w:val="Brdtekst"/>
        <w:jc w:val="both"/>
      </w:pPr>
      <w:r>
        <w:t>Det er virksomhedernes pligt at dokumentere grundlaget for kompensationsansøgningen.</w:t>
      </w:r>
    </w:p>
    <w:p w14:paraId="451E617D" w14:textId="77777777" w:rsidR="00293DF9" w:rsidRDefault="00293DF9" w:rsidP="003254FC">
      <w:pPr>
        <w:pStyle w:val="Brdtekst"/>
        <w:jc w:val="both"/>
      </w:pPr>
    </w:p>
    <w:p w14:paraId="398ED9BE" w14:textId="77777777" w:rsidR="00293DF9" w:rsidRDefault="00293DF9" w:rsidP="003254FC">
      <w:pPr>
        <w:pStyle w:val="Brdtekst"/>
        <w:jc w:val="both"/>
      </w:pPr>
      <w:r>
        <w:t xml:space="preserve">I </w:t>
      </w:r>
      <w:r w:rsidR="0033353D">
        <w:t>enkelte</w:t>
      </w:r>
      <w:r>
        <w:t xml:space="preserve"> tilfælde vil der </w:t>
      </w:r>
      <w:r w:rsidR="0033353D">
        <w:t xml:space="preserve">– når der er handlet en aktivitet - </w:t>
      </w:r>
      <w:r>
        <w:t>være forskel på værdierne i henholdsvis de aflagte årsregnskaber og værdierne til brug for kompensationsordningen. Virksomheden skal derfor sørge for, at den kan dokumentere omsætning og de faste omkostninger, også når disse</w:t>
      </w:r>
      <w:r w:rsidR="00C03B0F">
        <w:t xml:space="preserve"> afviger</w:t>
      </w:r>
      <w:r>
        <w:t xml:space="preserve"> fra de aflagte regnskaber.</w:t>
      </w:r>
    </w:p>
    <w:p w14:paraId="384425FD" w14:textId="77777777" w:rsidR="00293DF9" w:rsidRDefault="00293DF9" w:rsidP="003254FC">
      <w:pPr>
        <w:pStyle w:val="Brdtekst"/>
        <w:jc w:val="both"/>
      </w:pPr>
    </w:p>
    <w:p w14:paraId="29723E31" w14:textId="77777777" w:rsidR="00293DF9" w:rsidRDefault="00293DF9" w:rsidP="003254FC">
      <w:pPr>
        <w:pStyle w:val="Brdtekst"/>
        <w:jc w:val="both"/>
      </w:pPr>
      <w:r>
        <w:t xml:space="preserve">Forskellene skyldes, at </w:t>
      </w:r>
      <w:proofErr w:type="gramStart"/>
      <w:r>
        <w:t>eksempelvis</w:t>
      </w:r>
      <w:proofErr w:type="gramEnd"/>
      <w:r>
        <w:t xml:space="preserve"> fusioner efter årsregnskabsloven kan foretages med regnskabsmæssigt tilbagevirkende kraft, samt at de situationer, hvor virksomheden bliver anset for at være kompensationsberettiget ved eksempelvis køb af aktiviteter ikke periodemæssigt er sammenfaldende med </w:t>
      </w:r>
      <w:r w:rsidR="0033353D">
        <w:t xml:space="preserve">indregningen i </w:t>
      </w:r>
      <w:r>
        <w:t>årsregnskabet.</w:t>
      </w:r>
    </w:p>
    <w:p w14:paraId="1EC8AB21" w14:textId="77777777" w:rsidR="00293DF9" w:rsidRDefault="00293DF9" w:rsidP="003254FC">
      <w:pPr>
        <w:pStyle w:val="Brdtekst"/>
        <w:jc w:val="both"/>
      </w:pPr>
    </w:p>
    <w:p w14:paraId="1359D5DA" w14:textId="77777777" w:rsidR="00293DF9" w:rsidRDefault="00293DF9" w:rsidP="003254FC">
      <w:pPr>
        <w:pStyle w:val="Brdtekst"/>
        <w:jc w:val="both"/>
      </w:pPr>
      <w:r>
        <w:t>Det vil være en fordel for virksomheden, hvis den udarbejder en afstemning af omsætning og faste omkostninger i ansøgningen til det/de relevante årsregnskaber indeholdende kompensationsperioden.</w:t>
      </w:r>
    </w:p>
    <w:p w14:paraId="786DBCE5" w14:textId="77777777" w:rsidR="00293DF9" w:rsidRDefault="00293DF9" w:rsidP="003254FC">
      <w:pPr>
        <w:pStyle w:val="Brdtekst"/>
        <w:jc w:val="both"/>
      </w:pPr>
    </w:p>
    <w:p w14:paraId="24F49FF1" w14:textId="77777777" w:rsidR="00293DF9" w:rsidRPr="00293DF9" w:rsidRDefault="00293DF9" w:rsidP="003254FC">
      <w:pPr>
        <w:pStyle w:val="Brdtekst"/>
        <w:jc w:val="both"/>
      </w:pPr>
      <w:r>
        <w:t>Hvor virksomheder køber/sælger aktiviteter ud af koncernen bør der ske udveksling af de nødvendige oplysninger mellem køber og sælger, således de kan dokumentere deres kompensationsansøgninger. Køber og sælger kan med fordel afstemme deres ansøgninger, således det sikres, at kun køber modtager kompensation for overdragne aktiviteter.</w:t>
      </w:r>
    </w:p>
    <w:p w14:paraId="57A8B90A" w14:textId="77777777" w:rsidR="009A0126" w:rsidRDefault="009A0126" w:rsidP="003254FC">
      <w:pPr>
        <w:pStyle w:val="Brdtekst"/>
        <w:jc w:val="both"/>
        <w:rPr>
          <w:b/>
          <w:bCs/>
          <w:i/>
          <w:iCs/>
        </w:rPr>
      </w:pPr>
    </w:p>
    <w:p w14:paraId="7ECFA253" w14:textId="77777777" w:rsidR="00D01FD4" w:rsidRPr="00E350D7" w:rsidRDefault="00D01FD4" w:rsidP="003254FC">
      <w:pPr>
        <w:pStyle w:val="Brdtekst"/>
        <w:jc w:val="both"/>
      </w:pPr>
    </w:p>
    <w:sectPr w:rsidR="00D01FD4" w:rsidRPr="00E350D7" w:rsidSect="003C6BAB">
      <w:headerReference w:type="even" r:id="rId11"/>
      <w:headerReference w:type="default" r:id="rId12"/>
      <w:headerReference w:type="first" r:id="rId13"/>
      <w:pgSz w:w="11906" w:h="16838" w:code="9"/>
      <w:pgMar w:top="2098" w:right="3742" w:bottom="851" w:left="1134" w:header="624" w:footer="567"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9388" w14:textId="77777777" w:rsidR="00025071" w:rsidRDefault="00025071">
      <w:pPr>
        <w:spacing w:line="240" w:lineRule="auto"/>
      </w:pPr>
      <w:r>
        <w:separator/>
      </w:r>
    </w:p>
  </w:endnote>
  <w:endnote w:type="continuationSeparator" w:id="0">
    <w:p w14:paraId="7A9D1957" w14:textId="77777777" w:rsidR="00025071" w:rsidRDefault="00025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3913" w14:textId="77777777" w:rsidR="00025071" w:rsidRDefault="00025071">
      <w:pPr>
        <w:spacing w:line="240" w:lineRule="auto"/>
      </w:pPr>
      <w:r>
        <w:separator/>
      </w:r>
    </w:p>
  </w:footnote>
  <w:footnote w:type="continuationSeparator" w:id="0">
    <w:p w14:paraId="2751F4EC" w14:textId="77777777" w:rsidR="00025071" w:rsidRDefault="00025071">
      <w:pPr>
        <w:spacing w:line="240" w:lineRule="auto"/>
      </w:pPr>
      <w:r>
        <w:continuationSeparator/>
      </w:r>
    </w:p>
  </w:footnote>
  <w:footnote w:id="1">
    <w:p w14:paraId="6E7B23F2" w14:textId="63ECD1F1" w:rsidR="006B02B5" w:rsidRDefault="006B02B5">
      <w:pPr>
        <w:pStyle w:val="Fodnotetekst"/>
      </w:pPr>
      <w:r>
        <w:rPr>
          <w:rStyle w:val="Fodnotehenvisning"/>
        </w:rPr>
        <w:footnoteRef/>
      </w:r>
      <w:r>
        <w:t xml:space="preserve"> Bekendtgørelsen er senere ændret ved bekendtgørelse nr. 834 og nr. 837 begge af 10. juni 2020. </w:t>
      </w:r>
    </w:p>
  </w:footnote>
  <w:footnote w:id="2">
    <w:p w14:paraId="0A145F2A" w14:textId="642DD116" w:rsidR="00EC765F" w:rsidRPr="00EC765F" w:rsidRDefault="00EC765F">
      <w:pPr>
        <w:pStyle w:val="Fodnotetekst"/>
      </w:pPr>
      <w:r>
        <w:rPr>
          <w:rStyle w:val="Fodnotehenvisning"/>
        </w:rPr>
        <w:footnoteRef/>
      </w:r>
      <w:r w:rsidRPr="00C54DEF">
        <w:t xml:space="preserve"> Jf. således Kommissionens afgørelse af 8. </w:t>
      </w:r>
      <w:proofErr w:type="gramStart"/>
      <w:r>
        <w:rPr>
          <w:lang w:val="en-US"/>
        </w:rPr>
        <w:t>April</w:t>
      </w:r>
      <w:proofErr w:type="gramEnd"/>
      <w:r>
        <w:rPr>
          <w:lang w:val="en-US"/>
        </w:rPr>
        <w:t xml:space="preserve"> 2020 i sag</w:t>
      </w:r>
      <w:r w:rsidRPr="00EC765F">
        <w:rPr>
          <w:lang w:val="en-US"/>
        </w:rPr>
        <w:t xml:space="preserve"> SA.56774 (2020/N) – DK – Compensation for companies particularly exposed to COVID-19 outbreak</w:t>
      </w:r>
      <w:r>
        <w:rPr>
          <w:lang w:val="en-US"/>
        </w:rPr>
        <w:t xml:space="preserve">. </w:t>
      </w:r>
      <w:r w:rsidRPr="00EC765F">
        <w:t xml:space="preserve">Ordningen er efterfølgende justeret </w:t>
      </w:r>
      <w:r>
        <w:t xml:space="preserve">og forlænget til 8. juli 2020 ved Kommissionens afgørelse af 5. maj 2020 i sag </w:t>
      </w:r>
      <w:r w:rsidRPr="00EC765F">
        <w:t xml:space="preserve">SA.57151 (2020/N) – Denmark – </w:t>
      </w:r>
      <w:proofErr w:type="spellStart"/>
      <w:r w:rsidRPr="00EC765F">
        <w:t>Amendment</w:t>
      </w:r>
      <w:proofErr w:type="spellEnd"/>
      <w:r w:rsidRPr="00EC765F">
        <w:t xml:space="preserve"> and prolongation of </w:t>
      </w:r>
      <w:proofErr w:type="spellStart"/>
      <w:r w:rsidRPr="00EC765F">
        <w:t>compensation</w:t>
      </w:r>
      <w:proofErr w:type="spellEnd"/>
      <w:r w:rsidRPr="00EC765F">
        <w:t xml:space="preserve"> </w:t>
      </w:r>
      <w:proofErr w:type="spellStart"/>
      <w:r w:rsidRPr="00EC765F">
        <w:t>scheme</w:t>
      </w:r>
      <w:proofErr w:type="spellEnd"/>
      <w:r w:rsidRPr="00EC765F">
        <w:t xml:space="preserve"> SA.56774 for </w:t>
      </w:r>
      <w:proofErr w:type="spellStart"/>
      <w:r w:rsidRPr="00EC765F">
        <w:t>companies</w:t>
      </w:r>
      <w:proofErr w:type="spellEnd"/>
      <w:r w:rsidRPr="00EC765F">
        <w:t xml:space="preserve"> </w:t>
      </w:r>
      <w:proofErr w:type="spellStart"/>
      <w:r w:rsidRPr="00EC765F">
        <w:t>particularly</w:t>
      </w:r>
      <w:proofErr w:type="spellEnd"/>
      <w:r w:rsidRPr="00EC765F">
        <w:t xml:space="preserve"> </w:t>
      </w:r>
      <w:proofErr w:type="spellStart"/>
      <w:r w:rsidRPr="00EC765F">
        <w:t>exposed</w:t>
      </w:r>
      <w:proofErr w:type="spellEnd"/>
      <w:r w:rsidRPr="00EC765F">
        <w:t xml:space="preserve"> to COVID-19 </w:t>
      </w:r>
      <w:proofErr w:type="spellStart"/>
      <w:r w:rsidRPr="00EC765F">
        <w:t>outbreak</w:t>
      </w:r>
      <w:proofErr w:type="spellEnd"/>
      <w:r>
        <w:t>.</w:t>
      </w:r>
    </w:p>
  </w:footnote>
  <w:footnote w:id="3">
    <w:p w14:paraId="3696D265" w14:textId="30923C71" w:rsidR="00E24E00" w:rsidRDefault="00E24E00">
      <w:pPr>
        <w:pStyle w:val="Fodnotetekst"/>
      </w:pPr>
      <w:r>
        <w:rPr>
          <w:rStyle w:val="Fodnotehenvisning"/>
        </w:rPr>
        <w:footnoteRef/>
      </w:r>
      <w:r>
        <w:t xml:space="preserve"> Jf. </w:t>
      </w:r>
      <w:r w:rsidRPr="00E24E00">
        <w:t>bekendtgørelse nr. 574 af 5. maj 2020 om kompensation for faste omkostninger til virksomheder i økonomisk krise som følge af COVID-19</w:t>
      </w:r>
      <w:r>
        <w:t xml:space="preserve"> § 2, stk. 1, nr. 1. </w:t>
      </w:r>
    </w:p>
  </w:footnote>
  <w:footnote w:id="4">
    <w:p w14:paraId="49C9A9A4" w14:textId="33AC4F59" w:rsidR="00BD219B" w:rsidRDefault="00BD219B">
      <w:pPr>
        <w:pStyle w:val="Fodnotetekst"/>
      </w:pPr>
      <w:r>
        <w:rPr>
          <w:rStyle w:val="Fodnotehenvisning"/>
        </w:rPr>
        <w:footnoteRef/>
      </w:r>
      <w:r>
        <w:t xml:space="preserve"> Jf. </w:t>
      </w:r>
      <w:r w:rsidRPr="00E24E00">
        <w:t>bekendtgørelse nr. 574 af 5. maj 2020 om kompensation for faste omkostninger til virksomheder i økonomisk krise som følge af COVID-19</w:t>
      </w:r>
      <w:r>
        <w:t xml:space="preserve"> §</w:t>
      </w:r>
      <w:r w:rsidR="00E333BA">
        <w:t xml:space="preserve"> 2, stk. 1, litra a og b. </w:t>
      </w:r>
    </w:p>
  </w:footnote>
  <w:footnote w:id="5">
    <w:p w14:paraId="4D5B452C" w14:textId="2D6087D7" w:rsidR="00771E3A" w:rsidRDefault="00771E3A">
      <w:pPr>
        <w:pStyle w:val="Fodnotetekst"/>
      </w:pPr>
      <w:r>
        <w:rPr>
          <w:rStyle w:val="Fodnotehenvisning"/>
        </w:rPr>
        <w:footnoteRef/>
      </w:r>
      <w:r>
        <w:t xml:space="preserve"> Jf. bekendtgørelse nr. 574 af 5. maj 2020 § 6, stk. 1. </w:t>
      </w:r>
    </w:p>
  </w:footnote>
  <w:footnote w:id="6">
    <w:p w14:paraId="64A3058E" w14:textId="3877C13A" w:rsidR="00C3528E" w:rsidRDefault="00C3528E">
      <w:pPr>
        <w:pStyle w:val="Fodnotetekst"/>
      </w:pPr>
      <w:r>
        <w:rPr>
          <w:rStyle w:val="Fodnotehenvisning"/>
        </w:rPr>
        <w:footnoteRef/>
      </w:r>
      <w:r>
        <w:t xml:space="preserve"> Se punkt 43 </w:t>
      </w:r>
      <w:proofErr w:type="spellStart"/>
      <w:r>
        <w:t>ff</w:t>
      </w:r>
      <w:proofErr w:type="spellEnd"/>
      <w:r>
        <w:t xml:space="preserve"> i Kommissionens afgørelse af 8. april 2020.</w:t>
      </w:r>
    </w:p>
  </w:footnote>
  <w:footnote w:id="7">
    <w:p w14:paraId="0D3DADAD" w14:textId="1D082EBB" w:rsidR="00B00D58" w:rsidRDefault="00B00D58" w:rsidP="00B00D58">
      <w:pPr>
        <w:pStyle w:val="Fodnotetekst"/>
      </w:pPr>
      <w:r>
        <w:rPr>
          <w:rStyle w:val="Fodnotehenvisning"/>
        </w:rPr>
        <w:footnoteRef/>
      </w:r>
      <w:r>
        <w:t xml:space="preserve"> Jf. </w:t>
      </w:r>
      <w:r w:rsidR="00D62969">
        <w:t>l</w:t>
      </w:r>
      <w:r>
        <w:t xml:space="preserve">ovbekendtgørelse </w:t>
      </w:r>
      <w:r w:rsidRPr="007030B5">
        <w:t>nr</w:t>
      </w:r>
      <w:r>
        <w:t xml:space="preserve">. </w:t>
      </w:r>
      <w:r w:rsidRPr="007030B5">
        <w:t>763 af 23</w:t>
      </w:r>
      <w:r>
        <w:t>. juli 2</w:t>
      </w:r>
      <w:r w:rsidRPr="007030B5">
        <w:t>019</w:t>
      </w:r>
      <w:r>
        <w:t xml:space="preserve"> </w:t>
      </w:r>
      <w:r w:rsidRPr="007030B5">
        <w:t>af lov om aktie- og anpartsselskaber (selskabsloven)</w:t>
      </w:r>
      <w:r>
        <w:t xml:space="preserve"> § 7. </w:t>
      </w:r>
    </w:p>
  </w:footnote>
  <w:footnote w:id="8">
    <w:p w14:paraId="3FF831DC" w14:textId="77777777" w:rsidR="00060656" w:rsidRDefault="00060656" w:rsidP="00060656">
      <w:pPr>
        <w:pStyle w:val="Fodnotetekst"/>
      </w:pPr>
      <w:r>
        <w:rPr>
          <w:rStyle w:val="Fodnotehenvisning"/>
        </w:rPr>
        <w:footnoteRef/>
      </w:r>
      <w:r>
        <w:t xml:space="preserve"> Køber skal være en virksomhed med et CVR-nr., som er registreret senest den 9. marts 2020, ellers kan køber ikke opnå kompensation efter ordningen.</w:t>
      </w:r>
    </w:p>
  </w:footnote>
  <w:footnote w:id="9">
    <w:p w14:paraId="2524C241" w14:textId="2F205257" w:rsidR="00D338F5" w:rsidRDefault="00D338F5">
      <w:pPr>
        <w:pStyle w:val="Fodnotetekst"/>
      </w:pPr>
      <w:r>
        <w:rPr>
          <w:rStyle w:val="Fodnotehenvisning"/>
        </w:rPr>
        <w:footnoteRef/>
      </w:r>
      <w:r>
        <w:t xml:space="preserve"> Jf. Lovbekendtgørelse nr. </w:t>
      </w:r>
      <w:r w:rsidRPr="00D338F5">
        <w:t>1580 af 10</w:t>
      </w:r>
      <w:r>
        <w:t>. december 2015 af årsregnskabsloven § 123</w:t>
      </w:r>
    </w:p>
  </w:footnote>
  <w:footnote w:id="10">
    <w:p w14:paraId="1F648312" w14:textId="123685FA" w:rsidR="00181925" w:rsidRDefault="00181925">
      <w:pPr>
        <w:pStyle w:val="Fodnotetekst"/>
      </w:pPr>
      <w:r>
        <w:rPr>
          <w:rStyle w:val="Fodnotehenvisning"/>
        </w:rPr>
        <w:footnoteRef/>
      </w:r>
      <w:r>
        <w:t xml:space="preserve"> Jf. Lovbekendtgørelse nr. </w:t>
      </w:r>
      <w:r w:rsidRPr="00D338F5">
        <w:t>1580 af 10</w:t>
      </w:r>
      <w:r>
        <w:t>. december 2015 af årsregnskabsloven § 122</w:t>
      </w:r>
    </w:p>
  </w:footnote>
  <w:footnote w:id="11">
    <w:p w14:paraId="6AE5D4D5" w14:textId="718D968A" w:rsidR="00161A73" w:rsidRDefault="00161A73">
      <w:pPr>
        <w:pStyle w:val="Fodnotetekst"/>
      </w:pPr>
      <w:r>
        <w:rPr>
          <w:rStyle w:val="Fodnotehenvisning"/>
        </w:rPr>
        <w:footnoteRef/>
      </w:r>
      <w:r>
        <w:t xml:space="preserve"> Dvs. en </w:t>
      </w:r>
      <w:r w:rsidRPr="00161A73">
        <w:t xml:space="preserve">fusion, hvor begge fusionerende selskaber ophører, og der </w:t>
      </w:r>
      <w:r w:rsidRPr="00161A73">
        <w:rPr>
          <w:u w:val="single"/>
        </w:rPr>
        <w:t>efter</w:t>
      </w:r>
      <w:r w:rsidRPr="00161A73">
        <w:t xml:space="preserve"> den 9. marts</w:t>
      </w:r>
      <w:r>
        <w:t xml:space="preserve"> 2</w:t>
      </w:r>
      <w:r w:rsidRPr="00161A73">
        <w:t xml:space="preserve">020 er stiftet et nyt fortsættende selskab.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36F" w14:textId="17F44A9C" w:rsidR="00122928" w:rsidRDefault="001229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626B" w14:textId="11DEFEB1" w:rsidR="003F1867" w:rsidRDefault="003F1867">
    <w:pPr>
      <w:framePr w:w="1531" w:h="851" w:wrap="around" w:vAnchor="page" w:hAnchor="page" w:x="9186" w:y="721"/>
    </w:pPr>
    <w:r>
      <w:rPr>
        <w:rStyle w:val="Sidetal"/>
      </w:rPr>
      <w:fldChar w:fldCharType="begin"/>
    </w:r>
    <w:r>
      <w:rPr>
        <w:rStyle w:val="Sidetal"/>
      </w:rPr>
      <w:instrText xml:space="preserve"> PAGE </w:instrText>
    </w:r>
    <w:r>
      <w:rPr>
        <w:rStyle w:val="Sidetal"/>
      </w:rPr>
      <w:fldChar w:fldCharType="separate"/>
    </w:r>
    <w:r w:rsidR="00696C54">
      <w:rPr>
        <w:rStyle w:val="Sidetal"/>
        <w:noProof/>
      </w:rPr>
      <w:t>10</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696C54">
      <w:rPr>
        <w:rStyle w:val="Sidetal"/>
        <w:noProof/>
      </w:rPr>
      <w:t>10</w:t>
    </w:r>
    <w:r>
      <w:rPr>
        <w:rStyle w:val="Sidetal"/>
      </w:rPr>
      <w:fldChar w:fldCharType="end"/>
    </w:r>
  </w:p>
  <w:p w14:paraId="25CC66C2" w14:textId="77777777" w:rsidR="003F1867" w:rsidRDefault="003F1867">
    <w:pPr>
      <w:framePr w:w="1531" w:h="851" w:wrap="around" w:vAnchor="page" w:hAnchor="page" w:x="9186" w:y="721"/>
    </w:pPr>
  </w:p>
  <w:p w14:paraId="2D8EE9AF" w14:textId="77777777" w:rsidR="003F1867" w:rsidRDefault="003F1867">
    <w:pPr>
      <w:framePr w:w="1531" w:h="851" w:wrap="around" w:vAnchor="page" w:hAnchor="page" w:x="9186" w:y="721"/>
    </w:pPr>
  </w:p>
  <w:p w14:paraId="5EA7A3CE" w14:textId="77777777" w:rsidR="003F1867" w:rsidRDefault="003F186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2494"/>
    </w:tblGrid>
    <w:tr w:rsidR="003F1867" w14:paraId="68350893" w14:textId="77777777">
      <w:trPr>
        <w:trHeight w:val="50"/>
      </w:trPr>
      <w:tc>
        <w:tcPr>
          <w:tcW w:w="2494" w:type="dxa"/>
          <w:tcBorders>
            <w:bottom w:val="nil"/>
          </w:tcBorders>
        </w:tcPr>
        <w:p w14:paraId="2E1CDA2B" w14:textId="77777777" w:rsidR="003F1867" w:rsidRDefault="003F1867">
          <w:pPr>
            <w:pStyle w:val="SkaktNormal"/>
            <w:framePr w:wrap="around" w:x="8988" w:y="1475"/>
          </w:pPr>
          <w:bookmarkStart w:id="9" w:name="PCAdato"/>
          <w:bookmarkEnd w:id="9"/>
        </w:p>
        <w:p w14:paraId="23EA7DE9" w14:textId="141A15C9" w:rsidR="003F1867" w:rsidRDefault="003F1867">
          <w:pPr>
            <w:pStyle w:val="SkaktNormal"/>
            <w:framePr w:wrap="around" w:x="8988" w:y="1475"/>
          </w:pPr>
          <w:bookmarkStart w:id="10" w:name="PCAsag"/>
          <w:bookmarkEnd w:id="10"/>
        </w:p>
        <w:p w14:paraId="75ED28C3" w14:textId="47C270DF" w:rsidR="003F1867" w:rsidRDefault="00FE1570">
          <w:pPr>
            <w:pStyle w:val="SkaktNormal"/>
            <w:framePr w:wrap="around" w:x="8988" w:y="1475"/>
          </w:pPr>
          <w:bookmarkStart w:id="11" w:name="PCAini"/>
          <w:bookmarkEnd w:id="11"/>
          <w:r>
            <w:t>1</w:t>
          </w:r>
          <w:r w:rsidR="00A321AE">
            <w:t>8</w:t>
          </w:r>
          <w:r>
            <w:t>. august</w:t>
          </w:r>
          <w:r w:rsidR="002D0CD7">
            <w:t xml:space="preserve"> 2020</w:t>
          </w:r>
        </w:p>
        <w:p w14:paraId="2641A7DE" w14:textId="77777777" w:rsidR="003F1867" w:rsidRDefault="003F1867">
          <w:pPr>
            <w:pStyle w:val="SkaktNormal"/>
            <w:framePr w:wrap="around" w:x="8988" w:y="1475"/>
          </w:pPr>
          <w:bookmarkStart w:id="12" w:name="PCAderesref"/>
          <w:bookmarkEnd w:id="12"/>
        </w:p>
        <w:p w14:paraId="3FD1C032" w14:textId="77777777" w:rsidR="003F1867" w:rsidRDefault="003F1867">
          <w:pPr>
            <w:pStyle w:val="SkaktNormal"/>
            <w:framePr w:wrap="around" w:x="8988" w:y="1475"/>
          </w:pPr>
        </w:p>
        <w:p w14:paraId="6CC7221E" w14:textId="77777777" w:rsidR="003F1867" w:rsidRDefault="003F1867">
          <w:pPr>
            <w:pStyle w:val="SkaktNormal"/>
            <w:framePr w:wrap="around" w:x="8988" w:y="1475"/>
          </w:pPr>
        </w:p>
        <w:p w14:paraId="2E74BE94" w14:textId="77777777" w:rsidR="003F1867" w:rsidRDefault="003F1867">
          <w:pPr>
            <w:pStyle w:val="SkaktNormal"/>
            <w:framePr w:wrap="around" w:x="8988" w:y="1475"/>
          </w:pPr>
        </w:p>
        <w:p w14:paraId="4FBFF9F9" w14:textId="77777777" w:rsidR="003F1867" w:rsidRDefault="003F1867">
          <w:pPr>
            <w:pStyle w:val="SkaktNormal"/>
            <w:framePr w:wrap="around" w:x="8988" w:y="1475"/>
          </w:pPr>
        </w:p>
        <w:p w14:paraId="12E5A6DE" w14:textId="77777777" w:rsidR="003F1867" w:rsidRDefault="003F1867">
          <w:pPr>
            <w:pStyle w:val="SkaktNormal"/>
            <w:framePr w:wrap="around" w:x="8988" w:y="1475"/>
          </w:pPr>
        </w:p>
        <w:p w14:paraId="0F3F4B39" w14:textId="77777777" w:rsidR="003F1867" w:rsidRDefault="003F1867">
          <w:pPr>
            <w:pStyle w:val="skaktfed"/>
            <w:framePr w:wrap="around" w:vAnchor="text" w:x="8988" w:y="1475"/>
            <w:rPr>
              <w:rFonts w:ascii="Arial" w:hAnsi="Arial"/>
              <w:noProof/>
              <w:spacing w:val="-8"/>
              <w:sz w:val="16"/>
            </w:rPr>
          </w:pPr>
          <w:r>
            <w:t>ERHVERVSSTYRELSEN</w:t>
          </w:r>
        </w:p>
        <w:p w14:paraId="0A358282" w14:textId="77777777" w:rsidR="004C1BCC" w:rsidRPr="004E5439" w:rsidRDefault="004C1BCC" w:rsidP="004C1BCC">
          <w:pPr>
            <w:pStyle w:val="SkaktNormal"/>
            <w:framePr w:wrap="around" w:x="8988" w:y="1475"/>
            <w:rPr>
              <w:rFonts w:cs="Arial"/>
              <w:szCs w:val="16"/>
            </w:rPr>
          </w:pPr>
          <w:r w:rsidRPr="004E5439">
            <w:rPr>
              <w:rFonts w:cs="Arial"/>
              <w:szCs w:val="16"/>
            </w:rPr>
            <w:t>Dahlerups Pakhus</w:t>
          </w:r>
        </w:p>
        <w:p w14:paraId="41DC5C90" w14:textId="77777777" w:rsidR="004C1BCC" w:rsidRPr="004E5439" w:rsidRDefault="004C1BCC" w:rsidP="004C1BCC">
          <w:pPr>
            <w:pStyle w:val="SkaktNormal"/>
            <w:framePr w:wrap="around" w:x="8988" w:y="1475"/>
            <w:rPr>
              <w:rFonts w:cs="Arial"/>
              <w:szCs w:val="16"/>
            </w:rPr>
          </w:pPr>
          <w:r w:rsidRPr="004E5439">
            <w:rPr>
              <w:rFonts w:cs="Arial"/>
              <w:szCs w:val="16"/>
            </w:rPr>
            <w:t>Langelinie  Allé 17</w:t>
          </w:r>
        </w:p>
        <w:p w14:paraId="3DD7E804" w14:textId="77777777" w:rsidR="004C1BCC" w:rsidRPr="004E5439" w:rsidRDefault="004C1BCC" w:rsidP="004C1BCC">
          <w:pPr>
            <w:pStyle w:val="SkaktNormal"/>
            <w:framePr w:wrap="around" w:x="8988" w:y="1475"/>
            <w:rPr>
              <w:rFonts w:cs="Arial"/>
              <w:szCs w:val="16"/>
            </w:rPr>
          </w:pPr>
          <w:r w:rsidRPr="004E5439">
            <w:rPr>
              <w:rFonts w:cs="Arial"/>
              <w:szCs w:val="16"/>
            </w:rPr>
            <w:t>2100 København Ø</w:t>
          </w:r>
        </w:p>
        <w:p w14:paraId="1EECA3EB" w14:textId="77777777" w:rsidR="004C1BCC" w:rsidRPr="004E5439" w:rsidRDefault="004C1BCC" w:rsidP="004C1BCC">
          <w:pPr>
            <w:pStyle w:val="SkaktNormal"/>
            <w:framePr w:wrap="around" w:x="8988" w:y="1475"/>
            <w:rPr>
              <w:rFonts w:cs="Arial"/>
              <w:szCs w:val="16"/>
            </w:rPr>
          </w:pPr>
          <w:r w:rsidRPr="004E5439">
            <w:rPr>
              <w:rFonts w:cs="Arial"/>
              <w:szCs w:val="16"/>
            </w:rPr>
            <w:t xml:space="preserve"> </w:t>
          </w:r>
        </w:p>
        <w:p w14:paraId="77592644" w14:textId="77777777" w:rsidR="004C1BCC" w:rsidRPr="004C1BCC" w:rsidRDefault="004C1BCC" w:rsidP="004C1BCC">
          <w:pPr>
            <w:pStyle w:val="SkaktNormal"/>
            <w:framePr w:wrap="around" w:x="8988" w:y="1475"/>
            <w:rPr>
              <w:rFonts w:cs="Arial"/>
              <w:szCs w:val="16"/>
            </w:rPr>
          </w:pPr>
          <w:r w:rsidRPr="004C1BCC">
            <w:rPr>
              <w:rFonts w:cs="Arial"/>
              <w:szCs w:val="16"/>
            </w:rPr>
            <w:t>Tlf.         35 29 10 00</w:t>
          </w:r>
        </w:p>
        <w:p w14:paraId="321DEBE0" w14:textId="77777777" w:rsidR="004C1BCC" w:rsidRPr="004C1BCC" w:rsidRDefault="004C1BCC" w:rsidP="004C1BCC">
          <w:pPr>
            <w:pStyle w:val="SkaktNormal"/>
            <w:framePr w:wrap="around" w:x="8988" w:y="1475"/>
            <w:rPr>
              <w:rFonts w:cs="Arial"/>
              <w:szCs w:val="16"/>
            </w:rPr>
          </w:pPr>
          <w:r w:rsidRPr="004C1BCC">
            <w:rPr>
              <w:rFonts w:cs="Arial"/>
              <w:szCs w:val="16"/>
            </w:rPr>
            <w:t>CVR-nr  10 15 08 17</w:t>
          </w:r>
        </w:p>
        <w:p w14:paraId="40EEBCE1" w14:textId="77777777" w:rsidR="004C1BCC" w:rsidRPr="00FB39D0" w:rsidRDefault="004C1BCC" w:rsidP="004C1BCC">
          <w:pPr>
            <w:pStyle w:val="SkaktNormal"/>
            <w:framePr w:wrap="around" w:x="8988" w:y="1475"/>
            <w:rPr>
              <w:rFonts w:cs="Arial"/>
              <w:szCs w:val="16"/>
            </w:rPr>
          </w:pPr>
          <w:r w:rsidRPr="00FB39D0">
            <w:rPr>
              <w:rFonts w:cs="Arial"/>
              <w:szCs w:val="16"/>
            </w:rPr>
            <w:t>E-post    erst@erst.dk</w:t>
          </w:r>
        </w:p>
        <w:p w14:paraId="21D0C8AD" w14:textId="77777777" w:rsidR="004C1BCC" w:rsidRPr="004E5439" w:rsidRDefault="004C1BCC" w:rsidP="004C1BCC">
          <w:pPr>
            <w:pStyle w:val="SkaktNormal"/>
            <w:framePr w:wrap="around" w:x="8988" w:y="1475"/>
            <w:rPr>
              <w:rFonts w:cs="Arial"/>
              <w:szCs w:val="16"/>
            </w:rPr>
          </w:pPr>
          <w:r w:rsidRPr="004E5439">
            <w:rPr>
              <w:rFonts w:cs="Arial"/>
              <w:szCs w:val="16"/>
            </w:rPr>
            <w:t>www.erst.dk</w:t>
          </w:r>
        </w:p>
        <w:p w14:paraId="61AF4C85" w14:textId="77777777" w:rsidR="003F1867" w:rsidRDefault="003F1867">
          <w:pPr>
            <w:pStyle w:val="SkaktNormal"/>
            <w:framePr w:wrap="around" w:x="8988" w:y="1475"/>
          </w:pPr>
        </w:p>
        <w:p w14:paraId="1D176296" w14:textId="77777777" w:rsidR="003F1867" w:rsidRPr="00B50FCC" w:rsidRDefault="003F1867">
          <w:pPr>
            <w:pStyle w:val="SkaktBlankLinje"/>
            <w:framePr w:wrap="around"/>
            <w:rPr>
              <w:lang w:val="da-DK"/>
            </w:rPr>
          </w:pPr>
        </w:p>
        <w:p w14:paraId="252DC6EC" w14:textId="77777777" w:rsidR="003F1867" w:rsidRPr="00FB39D0" w:rsidRDefault="00FB39D0" w:rsidP="00FB39D0">
          <w:pPr>
            <w:pStyle w:val="skaktfedlille"/>
            <w:framePr w:hSpace="142" w:wrap="around" w:vAnchor="text" w:hAnchor="page" w:x="8988" w:y="1475" w:anchorLock="1"/>
            <w:rPr>
              <w:lang w:val="da-DK"/>
            </w:rPr>
          </w:pPr>
          <w:r>
            <w:rPr>
              <w:lang w:val="da-DK"/>
            </w:rPr>
            <w:t>ERHVERVS</w:t>
          </w:r>
          <w:r w:rsidR="00B50FCC">
            <w:rPr>
              <w:lang w:val="da-DK"/>
            </w:rPr>
            <w:t>MINISTERIET</w:t>
          </w:r>
        </w:p>
      </w:tc>
    </w:tr>
  </w:tbl>
  <w:p w14:paraId="5596DC1F" w14:textId="1FA4FFC1" w:rsidR="003F1867" w:rsidRDefault="00B4728A" w:rsidP="00B5374D">
    <w:pPr>
      <w:pStyle w:val="Sidehoved"/>
      <w:tabs>
        <w:tab w:val="clear" w:pos="4819"/>
        <w:tab w:val="clear" w:pos="9638"/>
        <w:tab w:val="left" w:pos="3030"/>
      </w:tabs>
    </w:pPr>
    <w:r>
      <w:rPr>
        <w:noProof/>
        <w:lang w:val="en-GB" w:eastAsia="en-GB"/>
      </w:rPr>
      <w:drawing>
        <wp:anchor distT="0" distB="0" distL="114300" distR="114300" simplePos="0" relativeHeight="251658240" behindDoc="1" locked="0" layoutInCell="1" allowOverlap="1" wp14:anchorId="54908CE8" wp14:editId="487A8D4D">
          <wp:simplePos x="0" y="0"/>
          <wp:positionH relativeFrom="column">
            <wp:posOffset>2268855</wp:posOffset>
          </wp:positionH>
          <wp:positionV relativeFrom="paragraph">
            <wp:posOffset>89535</wp:posOffset>
          </wp:positionV>
          <wp:extent cx="1424940" cy="450215"/>
          <wp:effectExtent l="0" t="0" r="3810" b="6985"/>
          <wp:wrapTight wrapText="bothSides">
            <wp:wrapPolygon edited="0">
              <wp:start x="9818" y="0"/>
              <wp:lineTo x="0" y="10968"/>
              <wp:lineTo x="0" y="21021"/>
              <wp:lineTo x="21369" y="21021"/>
              <wp:lineTo x="21369" y="10968"/>
              <wp:lineTo x="11262" y="0"/>
              <wp:lineTo x="9818" y="0"/>
            </wp:wrapPolygon>
          </wp:wrapTight>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Erhvervsstyrelsen_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7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362FB3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53C3AA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DD3374"/>
    <w:multiLevelType w:val="hybridMultilevel"/>
    <w:tmpl w:val="40B023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12301D4"/>
    <w:multiLevelType w:val="hybridMultilevel"/>
    <w:tmpl w:val="9D08C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9A1AB2"/>
    <w:multiLevelType w:val="hybridMultilevel"/>
    <w:tmpl w:val="2C181132"/>
    <w:lvl w:ilvl="0" w:tplc="4B8CC2A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842BAA"/>
    <w:multiLevelType w:val="singleLevel"/>
    <w:tmpl w:val="F70055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8B3E8C"/>
    <w:multiLevelType w:val="hybridMultilevel"/>
    <w:tmpl w:val="86363C7A"/>
    <w:lvl w:ilvl="0" w:tplc="638080E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C731328"/>
    <w:multiLevelType w:val="hybridMultilevel"/>
    <w:tmpl w:val="316690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E8"/>
    <w:rsid w:val="0000281C"/>
    <w:rsid w:val="00002B53"/>
    <w:rsid w:val="00007459"/>
    <w:rsid w:val="000129D4"/>
    <w:rsid w:val="00012C0B"/>
    <w:rsid w:val="000149A0"/>
    <w:rsid w:val="00025071"/>
    <w:rsid w:val="0002644C"/>
    <w:rsid w:val="00027AA9"/>
    <w:rsid w:val="00030165"/>
    <w:rsid w:val="00030CB3"/>
    <w:rsid w:val="0003376B"/>
    <w:rsid w:val="00044A79"/>
    <w:rsid w:val="00047A93"/>
    <w:rsid w:val="00047CA8"/>
    <w:rsid w:val="00051036"/>
    <w:rsid w:val="00060656"/>
    <w:rsid w:val="00066DD7"/>
    <w:rsid w:val="00071A1E"/>
    <w:rsid w:val="00076B08"/>
    <w:rsid w:val="00076E62"/>
    <w:rsid w:val="000838FA"/>
    <w:rsid w:val="0008537A"/>
    <w:rsid w:val="000916E6"/>
    <w:rsid w:val="000A23B6"/>
    <w:rsid w:val="000A44F7"/>
    <w:rsid w:val="000B498D"/>
    <w:rsid w:val="000B4EC7"/>
    <w:rsid w:val="000B74FD"/>
    <w:rsid w:val="000C3AC4"/>
    <w:rsid w:val="000D032E"/>
    <w:rsid w:val="000D7665"/>
    <w:rsid w:val="000E3E17"/>
    <w:rsid w:val="000E4984"/>
    <w:rsid w:val="000E7391"/>
    <w:rsid w:val="000F04FF"/>
    <w:rsid w:val="000F06EE"/>
    <w:rsid w:val="000F1BC9"/>
    <w:rsid w:val="00122928"/>
    <w:rsid w:val="00122D10"/>
    <w:rsid w:val="00125EE3"/>
    <w:rsid w:val="00135929"/>
    <w:rsid w:val="00142CCF"/>
    <w:rsid w:val="00147CBA"/>
    <w:rsid w:val="00151DE1"/>
    <w:rsid w:val="00152E3F"/>
    <w:rsid w:val="00161A73"/>
    <w:rsid w:val="0016568C"/>
    <w:rsid w:val="00175496"/>
    <w:rsid w:val="00181925"/>
    <w:rsid w:val="00185967"/>
    <w:rsid w:val="0018614A"/>
    <w:rsid w:val="0018724F"/>
    <w:rsid w:val="00187F00"/>
    <w:rsid w:val="00192CCC"/>
    <w:rsid w:val="0019617D"/>
    <w:rsid w:val="001A4F0F"/>
    <w:rsid w:val="001A5CC0"/>
    <w:rsid w:val="001B5451"/>
    <w:rsid w:val="001B56C8"/>
    <w:rsid w:val="001B6CD4"/>
    <w:rsid w:val="001B79D1"/>
    <w:rsid w:val="001D1291"/>
    <w:rsid w:val="001D4FD3"/>
    <w:rsid w:val="001D5980"/>
    <w:rsid w:val="001D5E21"/>
    <w:rsid w:val="001E6FF2"/>
    <w:rsid w:val="001F23CE"/>
    <w:rsid w:val="00211C40"/>
    <w:rsid w:val="002176D5"/>
    <w:rsid w:val="00220AD2"/>
    <w:rsid w:val="00224FCD"/>
    <w:rsid w:val="00227180"/>
    <w:rsid w:val="00231D16"/>
    <w:rsid w:val="00251FCB"/>
    <w:rsid w:val="00255922"/>
    <w:rsid w:val="00263EC1"/>
    <w:rsid w:val="00272A66"/>
    <w:rsid w:val="00281823"/>
    <w:rsid w:val="00293DF9"/>
    <w:rsid w:val="002A39AC"/>
    <w:rsid w:val="002B5281"/>
    <w:rsid w:val="002C59DE"/>
    <w:rsid w:val="002C5E15"/>
    <w:rsid w:val="002C76BA"/>
    <w:rsid w:val="002D0CD7"/>
    <w:rsid w:val="002E0A15"/>
    <w:rsid w:val="00300BFA"/>
    <w:rsid w:val="00321EAC"/>
    <w:rsid w:val="00321EB2"/>
    <w:rsid w:val="00324DE3"/>
    <w:rsid w:val="003254FC"/>
    <w:rsid w:val="00325EAD"/>
    <w:rsid w:val="0033353D"/>
    <w:rsid w:val="0033579C"/>
    <w:rsid w:val="003363D0"/>
    <w:rsid w:val="00337FE8"/>
    <w:rsid w:val="00345B43"/>
    <w:rsid w:val="003526EC"/>
    <w:rsid w:val="00352C19"/>
    <w:rsid w:val="00360AF1"/>
    <w:rsid w:val="003676A3"/>
    <w:rsid w:val="003710BD"/>
    <w:rsid w:val="003757C3"/>
    <w:rsid w:val="00382F8E"/>
    <w:rsid w:val="003849A4"/>
    <w:rsid w:val="00384F10"/>
    <w:rsid w:val="003912B4"/>
    <w:rsid w:val="00397520"/>
    <w:rsid w:val="003A2304"/>
    <w:rsid w:val="003B3C07"/>
    <w:rsid w:val="003C19C9"/>
    <w:rsid w:val="003C519D"/>
    <w:rsid w:val="003C6BAB"/>
    <w:rsid w:val="003D270C"/>
    <w:rsid w:val="003D52FA"/>
    <w:rsid w:val="003E560B"/>
    <w:rsid w:val="003F1867"/>
    <w:rsid w:val="003F4E84"/>
    <w:rsid w:val="0040578E"/>
    <w:rsid w:val="004070A3"/>
    <w:rsid w:val="00410DBC"/>
    <w:rsid w:val="00415708"/>
    <w:rsid w:val="00422D09"/>
    <w:rsid w:val="00423068"/>
    <w:rsid w:val="00430976"/>
    <w:rsid w:val="00432565"/>
    <w:rsid w:val="00435402"/>
    <w:rsid w:val="00437573"/>
    <w:rsid w:val="00446480"/>
    <w:rsid w:val="004473FF"/>
    <w:rsid w:val="00447541"/>
    <w:rsid w:val="00452399"/>
    <w:rsid w:val="00454E5F"/>
    <w:rsid w:val="00460858"/>
    <w:rsid w:val="00460905"/>
    <w:rsid w:val="00465363"/>
    <w:rsid w:val="00465A74"/>
    <w:rsid w:val="004667D4"/>
    <w:rsid w:val="00473C1E"/>
    <w:rsid w:val="00476D6C"/>
    <w:rsid w:val="0048220D"/>
    <w:rsid w:val="00486A6F"/>
    <w:rsid w:val="00496D42"/>
    <w:rsid w:val="004A2BB7"/>
    <w:rsid w:val="004B22A5"/>
    <w:rsid w:val="004C0E7C"/>
    <w:rsid w:val="004C1BCC"/>
    <w:rsid w:val="004C2463"/>
    <w:rsid w:val="004C5638"/>
    <w:rsid w:val="004D3725"/>
    <w:rsid w:val="004E6457"/>
    <w:rsid w:val="004F13A5"/>
    <w:rsid w:val="004F2312"/>
    <w:rsid w:val="004F6A53"/>
    <w:rsid w:val="0050296D"/>
    <w:rsid w:val="00503AC2"/>
    <w:rsid w:val="00527146"/>
    <w:rsid w:val="005310F3"/>
    <w:rsid w:val="005362E7"/>
    <w:rsid w:val="00547D94"/>
    <w:rsid w:val="00556935"/>
    <w:rsid w:val="005768E7"/>
    <w:rsid w:val="0058559C"/>
    <w:rsid w:val="0059734E"/>
    <w:rsid w:val="005C054B"/>
    <w:rsid w:val="005C3F7F"/>
    <w:rsid w:val="005D0927"/>
    <w:rsid w:val="005D333D"/>
    <w:rsid w:val="005E0F65"/>
    <w:rsid w:val="005E1614"/>
    <w:rsid w:val="005F191A"/>
    <w:rsid w:val="005F2835"/>
    <w:rsid w:val="00605627"/>
    <w:rsid w:val="006057E0"/>
    <w:rsid w:val="006203F6"/>
    <w:rsid w:val="00623F0C"/>
    <w:rsid w:val="006309E7"/>
    <w:rsid w:val="006371B0"/>
    <w:rsid w:val="00641C3E"/>
    <w:rsid w:val="006437A1"/>
    <w:rsid w:val="00644130"/>
    <w:rsid w:val="00652200"/>
    <w:rsid w:val="00653211"/>
    <w:rsid w:val="00656CFA"/>
    <w:rsid w:val="006613B4"/>
    <w:rsid w:val="006614CA"/>
    <w:rsid w:val="00670F54"/>
    <w:rsid w:val="00671A40"/>
    <w:rsid w:val="00671C8B"/>
    <w:rsid w:val="0068122B"/>
    <w:rsid w:val="00681BA3"/>
    <w:rsid w:val="00696C54"/>
    <w:rsid w:val="006A2C05"/>
    <w:rsid w:val="006B02B5"/>
    <w:rsid w:val="006B03BA"/>
    <w:rsid w:val="006B32C6"/>
    <w:rsid w:val="006B4167"/>
    <w:rsid w:val="006B6046"/>
    <w:rsid w:val="006C0D02"/>
    <w:rsid w:val="006C2E58"/>
    <w:rsid w:val="006C4126"/>
    <w:rsid w:val="006C7DEA"/>
    <w:rsid w:val="006D66CA"/>
    <w:rsid w:val="006E4605"/>
    <w:rsid w:val="006F2D72"/>
    <w:rsid w:val="007008BA"/>
    <w:rsid w:val="007030B5"/>
    <w:rsid w:val="00703A38"/>
    <w:rsid w:val="00706B6A"/>
    <w:rsid w:val="00710A2B"/>
    <w:rsid w:val="00711180"/>
    <w:rsid w:val="00712357"/>
    <w:rsid w:val="0071367F"/>
    <w:rsid w:val="007248B6"/>
    <w:rsid w:val="0073095F"/>
    <w:rsid w:val="00735176"/>
    <w:rsid w:val="00743DEF"/>
    <w:rsid w:val="00746A87"/>
    <w:rsid w:val="00751DD9"/>
    <w:rsid w:val="00752255"/>
    <w:rsid w:val="00763339"/>
    <w:rsid w:val="0076535F"/>
    <w:rsid w:val="00771E3A"/>
    <w:rsid w:val="007757C1"/>
    <w:rsid w:val="00780C48"/>
    <w:rsid w:val="007814EA"/>
    <w:rsid w:val="007936C3"/>
    <w:rsid w:val="007A291B"/>
    <w:rsid w:val="007B0F7C"/>
    <w:rsid w:val="007C2D2E"/>
    <w:rsid w:val="007C57E4"/>
    <w:rsid w:val="007E0944"/>
    <w:rsid w:val="007E7F07"/>
    <w:rsid w:val="007F0CDC"/>
    <w:rsid w:val="007F390B"/>
    <w:rsid w:val="007F3ACB"/>
    <w:rsid w:val="007F4146"/>
    <w:rsid w:val="0080170C"/>
    <w:rsid w:val="00811A90"/>
    <w:rsid w:val="0081458C"/>
    <w:rsid w:val="00815CCC"/>
    <w:rsid w:val="00821D96"/>
    <w:rsid w:val="008231D8"/>
    <w:rsid w:val="008266EE"/>
    <w:rsid w:val="00836E54"/>
    <w:rsid w:val="00842FE0"/>
    <w:rsid w:val="00861E6A"/>
    <w:rsid w:val="00862794"/>
    <w:rsid w:val="0086311F"/>
    <w:rsid w:val="00863A63"/>
    <w:rsid w:val="0086627D"/>
    <w:rsid w:val="00871BE8"/>
    <w:rsid w:val="0087370F"/>
    <w:rsid w:val="008A57E0"/>
    <w:rsid w:val="008B6DE7"/>
    <w:rsid w:val="008B78D3"/>
    <w:rsid w:val="008B7FA8"/>
    <w:rsid w:val="008C0083"/>
    <w:rsid w:val="008C15AA"/>
    <w:rsid w:val="008C166F"/>
    <w:rsid w:val="008C7C70"/>
    <w:rsid w:val="008D3221"/>
    <w:rsid w:val="008D3F06"/>
    <w:rsid w:val="008D7CF5"/>
    <w:rsid w:val="008E047E"/>
    <w:rsid w:val="008E24B4"/>
    <w:rsid w:val="008E4BBA"/>
    <w:rsid w:val="008F5B3D"/>
    <w:rsid w:val="00920B36"/>
    <w:rsid w:val="009219C4"/>
    <w:rsid w:val="00921D3C"/>
    <w:rsid w:val="00925226"/>
    <w:rsid w:val="00955753"/>
    <w:rsid w:val="0095602E"/>
    <w:rsid w:val="009641AB"/>
    <w:rsid w:val="00974A2E"/>
    <w:rsid w:val="0099240B"/>
    <w:rsid w:val="00993CFC"/>
    <w:rsid w:val="0099497B"/>
    <w:rsid w:val="0099551D"/>
    <w:rsid w:val="0099630F"/>
    <w:rsid w:val="009A0126"/>
    <w:rsid w:val="009A0E20"/>
    <w:rsid w:val="009B24F6"/>
    <w:rsid w:val="009B4676"/>
    <w:rsid w:val="009B73D6"/>
    <w:rsid w:val="009C2F72"/>
    <w:rsid w:val="009D3954"/>
    <w:rsid w:val="009D5B40"/>
    <w:rsid w:val="009E4449"/>
    <w:rsid w:val="00A02163"/>
    <w:rsid w:val="00A118ED"/>
    <w:rsid w:val="00A16D12"/>
    <w:rsid w:val="00A2553C"/>
    <w:rsid w:val="00A268B4"/>
    <w:rsid w:val="00A321AE"/>
    <w:rsid w:val="00A5038E"/>
    <w:rsid w:val="00A52211"/>
    <w:rsid w:val="00A531F6"/>
    <w:rsid w:val="00A71D60"/>
    <w:rsid w:val="00A7500D"/>
    <w:rsid w:val="00A76582"/>
    <w:rsid w:val="00A80A93"/>
    <w:rsid w:val="00A82928"/>
    <w:rsid w:val="00A92876"/>
    <w:rsid w:val="00AA0045"/>
    <w:rsid w:val="00AA5670"/>
    <w:rsid w:val="00AA6CD2"/>
    <w:rsid w:val="00AB10B8"/>
    <w:rsid w:val="00AC68BE"/>
    <w:rsid w:val="00AD385A"/>
    <w:rsid w:val="00AD3BD9"/>
    <w:rsid w:val="00AD783A"/>
    <w:rsid w:val="00AE6137"/>
    <w:rsid w:val="00AF3314"/>
    <w:rsid w:val="00AF3532"/>
    <w:rsid w:val="00AF7C5C"/>
    <w:rsid w:val="00B00D58"/>
    <w:rsid w:val="00B05D34"/>
    <w:rsid w:val="00B12FEE"/>
    <w:rsid w:val="00B170CB"/>
    <w:rsid w:val="00B22832"/>
    <w:rsid w:val="00B240CC"/>
    <w:rsid w:val="00B251EE"/>
    <w:rsid w:val="00B326FD"/>
    <w:rsid w:val="00B34E68"/>
    <w:rsid w:val="00B363BB"/>
    <w:rsid w:val="00B4728A"/>
    <w:rsid w:val="00B50FCC"/>
    <w:rsid w:val="00B5374D"/>
    <w:rsid w:val="00B619A7"/>
    <w:rsid w:val="00B62B20"/>
    <w:rsid w:val="00B64067"/>
    <w:rsid w:val="00B671F1"/>
    <w:rsid w:val="00B758A8"/>
    <w:rsid w:val="00B759E8"/>
    <w:rsid w:val="00B903EE"/>
    <w:rsid w:val="00B9663D"/>
    <w:rsid w:val="00BB5DB4"/>
    <w:rsid w:val="00BB6621"/>
    <w:rsid w:val="00BD219B"/>
    <w:rsid w:val="00BD6AC0"/>
    <w:rsid w:val="00BD7A7F"/>
    <w:rsid w:val="00BE2059"/>
    <w:rsid w:val="00BE462F"/>
    <w:rsid w:val="00BE4B41"/>
    <w:rsid w:val="00BF432D"/>
    <w:rsid w:val="00C00C79"/>
    <w:rsid w:val="00C0396E"/>
    <w:rsid w:val="00C03B0F"/>
    <w:rsid w:val="00C06E20"/>
    <w:rsid w:val="00C16DF2"/>
    <w:rsid w:val="00C17211"/>
    <w:rsid w:val="00C20F43"/>
    <w:rsid w:val="00C23F09"/>
    <w:rsid w:val="00C271AB"/>
    <w:rsid w:val="00C32C36"/>
    <w:rsid w:val="00C3307E"/>
    <w:rsid w:val="00C34C61"/>
    <w:rsid w:val="00C3528E"/>
    <w:rsid w:val="00C37EBC"/>
    <w:rsid w:val="00C469FA"/>
    <w:rsid w:val="00C54DEF"/>
    <w:rsid w:val="00C611A5"/>
    <w:rsid w:val="00C65170"/>
    <w:rsid w:val="00C74478"/>
    <w:rsid w:val="00C82356"/>
    <w:rsid w:val="00C84F9F"/>
    <w:rsid w:val="00C86945"/>
    <w:rsid w:val="00C913AA"/>
    <w:rsid w:val="00C92CBB"/>
    <w:rsid w:val="00C9515E"/>
    <w:rsid w:val="00CA0282"/>
    <w:rsid w:val="00CA0748"/>
    <w:rsid w:val="00CA5D33"/>
    <w:rsid w:val="00CB7B62"/>
    <w:rsid w:val="00CC2B4F"/>
    <w:rsid w:val="00CC4593"/>
    <w:rsid w:val="00CD0720"/>
    <w:rsid w:val="00CD335A"/>
    <w:rsid w:val="00CE0EA0"/>
    <w:rsid w:val="00CE3060"/>
    <w:rsid w:val="00CE51BE"/>
    <w:rsid w:val="00CF46A5"/>
    <w:rsid w:val="00CF54E3"/>
    <w:rsid w:val="00CF64BE"/>
    <w:rsid w:val="00D01FD4"/>
    <w:rsid w:val="00D12B4A"/>
    <w:rsid w:val="00D14BB4"/>
    <w:rsid w:val="00D16099"/>
    <w:rsid w:val="00D20138"/>
    <w:rsid w:val="00D20616"/>
    <w:rsid w:val="00D3263C"/>
    <w:rsid w:val="00D338F5"/>
    <w:rsid w:val="00D41E5D"/>
    <w:rsid w:val="00D43F36"/>
    <w:rsid w:val="00D53032"/>
    <w:rsid w:val="00D56A36"/>
    <w:rsid w:val="00D61BC1"/>
    <w:rsid w:val="00D62969"/>
    <w:rsid w:val="00D6621B"/>
    <w:rsid w:val="00D668AF"/>
    <w:rsid w:val="00D70C6F"/>
    <w:rsid w:val="00D7189B"/>
    <w:rsid w:val="00D76F25"/>
    <w:rsid w:val="00D777A3"/>
    <w:rsid w:val="00D92778"/>
    <w:rsid w:val="00DA03C2"/>
    <w:rsid w:val="00DB1174"/>
    <w:rsid w:val="00DB45C0"/>
    <w:rsid w:val="00DB4FFA"/>
    <w:rsid w:val="00DB5521"/>
    <w:rsid w:val="00DC2FD4"/>
    <w:rsid w:val="00DE1C47"/>
    <w:rsid w:val="00DE3FEC"/>
    <w:rsid w:val="00DE4874"/>
    <w:rsid w:val="00DE74A2"/>
    <w:rsid w:val="00E129D2"/>
    <w:rsid w:val="00E1374D"/>
    <w:rsid w:val="00E24E00"/>
    <w:rsid w:val="00E2533E"/>
    <w:rsid w:val="00E333BA"/>
    <w:rsid w:val="00E350D7"/>
    <w:rsid w:val="00E417FB"/>
    <w:rsid w:val="00E50554"/>
    <w:rsid w:val="00E51CC5"/>
    <w:rsid w:val="00E5375F"/>
    <w:rsid w:val="00E726BD"/>
    <w:rsid w:val="00E75076"/>
    <w:rsid w:val="00E7723B"/>
    <w:rsid w:val="00E7735D"/>
    <w:rsid w:val="00E807A2"/>
    <w:rsid w:val="00E91728"/>
    <w:rsid w:val="00E92F88"/>
    <w:rsid w:val="00E9522A"/>
    <w:rsid w:val="00E959C1"/>
    <w:rsid w:val="00E965F6"/>
    <w:rsid w:val="00EC2056"/>
    <w:rsid w:val="00EC765F"/>
    <w:rsid w:val="00ED2F47"/>
    <w:rsid w:val="00EF1CF6"/>
    <w:rsid w:val="00EF3E16"/>
    <w:rsid w:val="00EF4ED2"/>
    <w:rsid w:val="00F02B12"/>
    <w:rsid w:val="00F05462"/>
    <w:rsid w:val="00F073DB"/>
    <w:rsid w:val="00F22AE7"/>
    <w:rsid w:val="00F23620"/>
    <w:rsid w:val="00F247BF"/>
    <w:rsid w:val="00F3357D"/>
    <w:rsid w:val="00F55485"/>
    <w:rsid w:val="00F63DFC"/>
    <w:rsid w:val="00F63EFE"/>
    <w:rsid w:val="00F64B65"/>
    <w:rsid w:val="00F66719"/>
    <w:rsid w:val="00F979A2"/>
    <w:rsid w:val="00FA2EA4"/>
    <w:rsid w:val="00FA46F9"/>
    <w:rsid w:val="00FB145B"/>
    <w:rsid w:val="00FB39D0"/>
    <w:rsid w:val="00FC12B0"/>
    <w:rsid w:val="00FC211F"/>
    <w:rsid w:val="00FC495C"/>
    <w:rsid w:val="00FC765A"/>
    <w:rsid w:val="00FC7BD4"/>
    <w:rsid w:val="00FC7EE5"/>
    <w:rsid w:val="00FD525F"/>
    <w:rsid w:val="00FE15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AB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sz w:val="22"/>
      <w:lang w:eastAsia="en-US"/>
    </w:rPr>
  </w:style>
  <w:style w:type="paragraph" w:styleId="Overskrift1">
    <w:name w:val="heading 1"/>
    <w:basedOn w:val="Normal"/>
    <w:next w:val="Normal"/>
    <w:qFormat/>
    <w:pPr>
      <w:keepNext/>
      <w:outlineLvl w:val="0"/>
    </w:pPr>
    <w:rPr>
      <w:b/>
      <w:spacing w:val="2"/>
      <w:sz w:val="24"/>
    </w:rPr>
  </w:style>
  <w:style w:type="paragraph" w:styleId="Overskrift2">
    <w:name w:val="heading 2"/>
    <w:basedOn w:val="Normal"/>
    <w:next w:val="Normal"/>
    <w:link w:val="Overskrift2Tegn"/>
    <w:uiPriority w:val="9"/>
    <w:semiHidden/>
    <w:unhideWhenUsed/>
    <w:qFormat/>
    <w:rsid w:val="00476D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76D6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76D6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76D6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476D6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76D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76D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kakt">
    <w:name w:val="skakt"/>
    <w:basedOn w:val="Normal"/>
    <w:pPr>
      <w:framePr w:w="2268" w:h="7370" w:hSpace="141" w:wrap="around" w:hAnchor="page" w:x="9270" w:anchorLock="1"/>
    </w:pPr>
    <w:rPr>
      <w:rFonts w:ascii="Arial" w:hAnsi="Arial"/>
      <w:sz w:val="15"/>
    </w:rPr>
  </w:style>
  <w:style w:type="paragraph" w:customStyle="1" w:styleId="diverse">
    <w:name w:val="diverse"/>
    <w:basedOn w:val="Normal"/>
    <w:rPr>
      <w:sz w:val="18"/>
    </w:rPr>
  </w:style>
  <w:style w:type="paragraph" w:customStyle="1" w:styleId="skaktfed">
    <w:name w:val="skaktfed"/>
    <w:basedOn w:val="datomv"/>
    <w:pPr>
      <w:framePr w:wrap="around" w:vAnchor="page" w:x="9186" w:y="2241"/>
      <w:spacing w:line="240" w:lineRule="atLeast"/>
    </w:pPr>
    <w:rPr>
      <w:rFonts w:ascii="Arial Black" w:hAnsi="Arial Black"/>
      <w:b/>
      <w:spacing w:val="12"/>
      <w:sz w:val="13"/>
    </w:rPr>
  </w:style>
  <w:style w:type="character" w:styleId="Sidetal">
    <w:name w:val="page number"/>
    <w:basedOn w:val="Standardskrifttypeiafsnit"/>
  </w:style>
  <w:style w:type="paragraph" w:customStyle="1" w:styleId="datomv">
    <w:name w:val="datomv"/>
    <w:basedOn w:val="skakt"/>
    <w:pPr>
      <w:framePr w:w="0" w:hRule="auto" w:hSpace="142" w:wrap="around" w:vAnchor="text" w:hAnchor="text" w:x="9073" w:y="1"/>
    </w:pPr>
    <w:rPr>
      <w:rFonts w:ascii="Times New Roman" w:hAnsi="Times New Roman"/>
      <w:sz w:val="22"/>
    </w:rPr>
  </w:style>
  <w:style w:type="paragraph" w:styleId="Sidehoved">
    <w:name w:val="header"/>
    <w:basedOn w:val="Normal"/>
    <w:pPr>
      <w:tabs>
        <w:tab w:val="center" w:pos="4819"/>
        <w:tab w:val="right" w:pos="9638"/>
      </w:tabs>
    </w:pPr>
  </w:style>
  <w:style w:type="paragraph" w:customStyle="1" w:styleId="modt">
    <w:name w:val="modt"/>
    <w:basedOn w:val="Normal"/>
  </w:style>
  <w:style w:type="paragraph" w:styleId="Sidefod">
    <w:name w:val="footer"/>
    <w:basedOn w:val="Normal"/>
    <w:pPr>
      <w:tabs>
        <w:tab w:val="center" w:pos="4819"/>
        <w:tab w:val="right" w:pos="9638"/>
      </w:tabs>
    </w:pPr>
  </w:style>
  <w:style w:type="paragraph" w:customStyle="1" w:styleId="Enhed">
    <w:name w:val="Enhed"/>
    <w:basedOn w:val="Normal"/>
    <w:pPr>
      <w:framePr w:h="454" w:hRule="exact" w:wrap="around" w:vAnchor="page" w:hAnchor="page" w:x="9186" w:y="1702"/>
    </w:pPr>
    <w:rPr>
      <w:rFonts w:ascii="Arial" w:hAnsi="Arial"/>
      <w:b/>
      <w:caps/>
      <w:sz w:val="15"/>
    </w:rPr>
  </w:style>
  <w:style w:type="paragraph" w:styleId="Brdtekst">
    <w:name w:val="Body Text"/>
    <w:basedOn w:val="Normal"/>
  </w:style>
  <w:style w:type="paragraph" w:customStyle="1" w:styleId="SkaktNormal">
    <w:name w:val="SkaktNormal"/>
    <w:basedOn w:val="Normal"/>
    <w:pPr>
      <w:framePr w:hSpace="142" w:wrap="around" w:vAnchor="text" w:hAnchor="page" w:x="9186" w:y="1" w:anchorLock="1"/>
      <w:tabs>
        <w:tab w:val="left" w:pos="335"/>
      </w:tabs>
    </w:pPr>
    <w:rPr>
      <w:rFonts w:ascii="Arial" w:hAnsi="Arial"/>
      <w:noProof/>
      <w:spacing w:val="4"/>
      <w:sz w:val="16"/>
    </w:rPr>
  </w:style>
  <w:style w:type="paragraph" w:customStyle="1" w:styleId="SkaktBlankLinje">
    <w:name w:val="SkaktBlankLinje"/>
    <w:basedOn w:val="SkaktNormal"/>
    <w:pPr>
      <w:framePr w:wrap="around" w:x="9165" w:y="1537"/>
      <w:spacing w:line="300" w:lineRule="exact"/>
    </w:pPr>
    <w:rPr>
      <w:sz w:val="22"/>
      <w:lang w:val="en-US"/>
    </w:rPr>
  </w:style>
  <w:style w:type="paragraph" w:customStyle="1" w:styleId="skaktfedlille">
    <w:name w:val="skaktfedlille"/>
    <w:pPr>
      <w:spacing w:line="280" w:lineRule="atLeast"/>
    </w:pPr>
    <w:rPr>
      <w:rFonts w:ascii="Arial Black" w:hAnsi="Arial Black"/>
      <w:b/>
      <w:spacing w:val="4"/>
      <w:sz w:val="12"/>
      <w:lang w:val="en-GB" w:eastAsia="en-US"/>
    </w:rPr>
  </w:style>
  <w:style w:type="paragraph" w:customStyle="1" w:styleId="BlankLinje">
    <w:name w:val="BlankLinje"/>
    <w:basedOn w:val="Normal"/>
    <w:next w:val="Brdtekst"/>
    <w:rPr>
      <w:sz w:val="28"/>
    </w:rPr>
  </w:style>
  <w:style w:type="paragraph" w:customStyle="1" w:styleId="BrdtekstLille">
    <w:name w:val="BrødtekstLille"/>
    <w:basedOn w:val="Normal"/>
    <w:rPr>
      <w:sz w:val="20"/>
    </w:rPr>
  </w:style>
  <w:style w:type="table" w:styleId="Tabel-Gitter">
    <w:name w:val="Table Grid"/>
    <w:basedOn w:val="Tabel-Normal"/>
    <w:uiPriority w:val="59"/>
    <w:rsid w:val="005E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350D7"/>
    <w:pPr>
      <w:spacing w:line="240" w:lineRule="auto"/>
      <w:ind w:left="720"/>
    </w:pPr>
    <w:rPr>
      <w:rFonts w:ascii="Calibri" w:eastAsiaTheme="minorHAnsi" w:hAnsi="Calibri" w:cs="Calibri"/>
      <w:szCs w:val="22"/>
    </w:rPr>
  </w:style>
  <w:style w:type="character" w:styleId="Kommentarhenvisning">
    <w:name w:val="annotation reference"/>
    <w:basedOn w:val="Standardskrifttypeiafsnit"/>
    <w:uiPriority w:val="99"/>
    <w:semiHidden/>
    <w:unhideWhenUsed/>
    <w:rsid w:val="004D3725"/>
    <w:rPr>
      <w:sz w:val="16"/>
      <w:szCs w:val="16"/>
    </w:rPr>
  </w:style>
  <w:style w:type="paragraph" w:styleId="Kommentartekst">
    <w:name w:val="annotation text"/>
    <w:basedOn w:val="Normal"/>
    <w:link w:val="KommentartekstTegn"/>
    <w:uiPriority w:val="99"/>
    <w:semiHidden/>
    <w:unhideWhenUsed/>
    <w:rsid w:val="004D3725"/>
    <w:pPr>
      <w:spacing w:line="240" w:lineRule="auto"/>
    </w:pPr>
    <w:rPr>
      <w:sz w:val="20"/>
    </w:rPr>
  </w:style>
  <w:style w:type="character" w:customStyle="1" w:styleId="KommentartekstTegn">
    <w:name w:val="Kommentartekst Tegn"/>
    <w:basedOn w:val="Standardskrifttypeiafsnit"/>
    <w:link w:val="Kommentartekst"/>
    <w:uiPriority w:val="99"/>
    <w:semiHidden/>
    <w:rsid w:val="004D3725"/>
    <w:rPr>
      <w:lang w:eastAsia="en-US"/>
    </w:rPr>
  </w:style>
  <w:style w:type="paragraph" w:styleId="Kommentaremne">
    <w:name w:val="annotation subject"/>
    <w:basedOn w:val="Kommentartekst"/>
    <w:next w:val="Kommentartekst"/>
    <w:link w:val="KommentaremneTegn"/>
    <w:uiPriority w:val="99"/>
    <w:semiHidden/>
    <w:unhideWhenUsed/>
    <w:rsid w:val="004D3725"/>
    <w:rPr>
      <w:b/>
      <w:bCs/>
    </w:rPr>
  </w:style>
  <w:style w:type="character" w:customStyle="1" w:styleId="KommentaremneTegn">
    <w:name w:val="Kommentaremne Tegn"/>
    <w:basedOn w:val="KommentartekstTegn"/>
    <w:link w:val="Kommentaremne"/>
    <w:uiPriority w:val="99"/>
    <w:semiHidden/>
    <w:rsid w:val="004D3725"/>
    <w:rPr>
      <w:b/>
      <w:bCs/>
      <w:lang w:eastAsia="en-US"/>
    </w:rPr>
  </w:style>
  <w:style w:type="paragraph" w:styleId="Markeringsbobletekst">
    <w:name w:val="Balloon Text"/>
    <w:basedOn w:val="Normal"/>
    <w:link w:val="MarkeringsbobletekstTegn"/>
    <w:uiPriority w:val="99"/>
    <w:semiHidden/>
    <w:unhideWhenUsed/>
    <w:rsid w:val="004D372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3725"/>
    <w:rPr>
      <w:rFonts w:ascii="Segoe UI" w:hAnsi="Segoe UI" w:cs="Segoe UI"/>
      <w:sz w:val="18"/>
      <w:szCs w:val="18"/>
      <w:lang w:eastAsia="en-US"/>
    </w:rPr>
  </w:style>
  <w:style w:type="paragraph" w:styleId="Korrektur">
    <w:name w:val="Revision"/>
    <w:hidden/>
    <w:uiPriority w:val="99"/>
    <w:semiHidden/>
    <w:rsid w:val="0086311F"/>
    <w:rPr>
      <w:sz w:val="22"/>
      <w:lang w:eastAsia="en-US"/>
    </w:rPr>
  </w:style>
  <w:style w:type="paragraph" w:styleId="Fodnotetekst">
    <w:name w:val="footnote text"/>
    <w:basedOn w:val="Normal"/>
    <w:link w:val="FodnotetekstTegn"/>
    <w:uiPriority w:val="99"/>
    <w:semiHidden/>
    <w:unhideWhenUsed/>
    <w:rsid w:val="00B240CC"/>
    <w:pPr>
      <w:spacing w:line="240" w:lineRule="auto"/>
    </w:pPr>
    <w:rPr>
      <w:sz w:val="20"/>
    </w:rPr>
  </w:style>
  <w:style w:type="character" w:customStyle="1" w:styleId="FodnotetekstTegn">
    <w:name w:val="Fodnotetekst Tegn"/>
    <w:basedOn w:val="Standardskrifttypeiafsnit"/>
    <w:link w:val="Fodnotetekst"/>
    <w:uiPriority w:val="99"/>
    <w:semiHidden/>
    <w:rsid w:val="00B240CC"/>
    <w:rPr>
      <w:lang w:eastAsia="en-US"/>
    </w:rPr>
  </w:style>
  <w:style w:type="character" w:styleId="Fodnotehenvisning">
    <w:name w:val="footnote reference"/>
    <w:basedOn w:val="Standardskrifttypeiafsnit"/>
    <w:uiPriority w:val="99"/>
    <w:semiHidden/>
    <w:unhideWhenUsed/>
    <w:rsid w:val="00B240CC"/>
    <w:rPr>
      <w:vertAlign w:val="superscript"/>
    </w:rPr>
  </w:style>
  <w:style w:type="paragraph" w:styleId="Opstilling-punkttegn">
    <w:name w:val="List Bullet"/>
    <w:basedOn w:val="Normal"/>
    <w:uiPriority w:val="99"/>
    <w:unhideWhenUsed/>
    <w:rsid w:val="00476D6C"/>
    <w:pPr>
      <w:numPr>
        <w:numId w:val="7"/>
      </w:numPr>
      <w:contextualSpacing/>
    </w:pPr>
  </w:style>
  <w:style w:type="paragraph" w:styleId="Opstilling-talellerbogst">
    <w:name w:val="List Number"/>
    <w:basedOn w:val="Normal"/>
    <w:uiPriority w:val="99"/>
    <w:semiHidden/>
    <w:unhideWhenUsed/>
    <w:rsid w:val="00476D6C"/>
    <w:pPr>
      <w:numPr>
        <w:numId w:val="8"/>
      </w:numPr>
      <w:contextualSpacing/>
    </w:pPr>
  </w:style>
  <w:style w:type="paragraph" w:styleId="Titel">
    <w:name w:val="Title"/>
    <w:basedOn w:val="Normal"/>
    <w:next w:val="Normal"/>
    <w:link w:val="TitelTegn"/>
    <w:uiPriority w:val="10"/>
    <w:qFormat/>
    <w:rsid w:val="00476D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6D6C"/>
    <w:rPr>
      <w:rFonts w:asciiTheme="majorHAnsi" w:eastAsiaTheme="majorEastAsia" w:hAnsiTheme="majorHAnsi" w:cstheme="majorBidi"/>
      <w:spacing w:val="-10"/>
      <w:kern w:val="28"/>
      <w:sz w:val="56"/>
      <w:szCs w:val="56"/>
      <w:lang w:eastAsia="en-US"/>
    </w:rPr>
  </w:style>
  <w:style w:type="character" w:customStyle="1" w:styleId="Overskrift2Tegn">
    <w:name w:val="Overskrift 2 Tegn"/>
    <w:basedOn w:val="Standardskrifttypeiafsnit"/>
    <w:link w:val="Overskrift2"/>
    <w:uiPriority w:val="9"/>
    <w:semiHidden/>
    <w:rsid w:val="00476D6C"/>
    <w:rPr>
      <w:rFonts w:asciiTheme="majorHAnsi" w:eastAsiaTheme="majorEastAsia" w:hAnsiTheme="majorHAnsi" w:cstheme="majorBidi"/>
      <w:color w:val="365F91" w:themeColor="accent1" w:themeShade="BF"/>
      <w:sz w:val="26"/>
      <w:szCs w:val="26"/>
      <w:lang w:eastAsia="en-US"/>
    </w:rPr>
  </w:style>
  <w:style w:type="character" w:customStyle="1" w:styleId="Overskrift3Tegn">
    <w:name w:val="Overskrift 3 Tegn"/>
    <w:basedOn w:val="Standardskrifttypeiafsnit"/>
    <w:link w:val="Overskrift3"/>
    <w:uiPriority w:val="9"/>
    <w:semiHidden/>
    <w:rsid w:val="00476D6C"/>
    <w:rPr>
      <w:rFonts w:asciiTheme="majorHAnsi" w:eastAsiaTheme="majorEastAsia" w:hAnsiTheme="majorHAnsi" w:cstheme="majorBidi"/>
      <w:color w:val="243F60" w:themeColor="accent1" w:themeShade="7F"/>
      <w:sz w:val="24"/>
      <w:szCs w:val="24"/>
      <w:lang w:eastAsia="en-US"/>
    </w:rPr>
  </w:style>
  <w:style w:type="character" w:customStyle="1" w:styleId="Overskrift4Tegn">
    <w:name w:val="Overskrift 4 Tegn"/>
    <w:basedOn w:val="Standardskrifttypeiafsnit"/>
    <w:link w:val="Overskrift4"/>
    <w:uiPriority w:val="9"/>
    <w:semiHidden/>
    <w:rsid w:val="00476D6C"/>
    <w:rPr>
      <w:rFonts w:asciiTheme="majorHAnsi" w:eastAsiaTheme="majorEastAsia" w:hAnsiTheme="majorHAnsi" w:cstheme="majorBidi"/>
      <w:i/>
      <w:iCs/>
      <w:color w:val="365F91" w:themeColor="accent1" w:themeShade="BF"/>
      <w:sz w:val="22"/>
      <w:lang w:eastAsia="en-US"/>
    </w:rPr>
  </w:style>
  <w:style w:type="character" w:customStyle="1" w:styleId="Overskrift5Tegn">
    <w:name w:val="Overskrift 5 Tegn"/>
    <w:basedOn w:val="Standardskrifttypeiafsnit"/>
    <w:link w:val="Overskrift5"/>
    <w:uiPriority w:val="9"/>
    <w:semiHidden/>
    <w:rsid w:val="00476D6C"/>
    <w:rPr>
      <w:rFonts w:asciiTheme="majorHAnsi" w:eastAsiaTheme="majorEastAsia" w:hAnsiTheme="majorHAnsi" w:cstheme="majorBidi"/>
      <w:color w:val="365F91" w:themeColor="accent1" w:themeShade="BF"/>
      <w:sz w:val="22"/>
      <w:lang w:eastAsia="en-US"/>
    </w:rPr>
  </w:style>
  <w:style w:type="character" w:customStyle="1" w:styleId="Overskrift7Tegn">
    <w:name w:val="Overskrift 7 Tegn"/>
    <w:basedOn w:val="Standardskrifttypeiafsnit"/>
    <w:link w:val="Overskrift7"/>
    <w:uiPriority w:val="9"/>
    <w:semiHidden/>
    <w:rsid w:val="00476D6C"/>
    <w:rPr>
      <w:rFonts w:asciiTheme="majorHAnsi" w:eastAsiaTheme="majorEastAsia" w:hAnsiTheme="majorHAnsi" w:cstheme="majorBidi"/>
      <w:i/>
      <w:iCs/>
      <w:color w:val="243F60" w:themeColor="accent1" w:themeShade="7F"/>
      <w:sz w:val="22"/>
      <w:lang w:eastAsia="en-US"/>
    </w:rPr>
  </w:style>
  <w:style w:type="character" w:customStyle="1" w:styleId="Overskrift8Tegn">
    <w:name w:val="Overskrift 8 Tegn"/>
    <w:basedOn w:val="Standardskrifttypeiafsnit"/>
    <w:link w:val="Overskrift8"/>
    <w:uiPriority w:val="9"/>
    <w:semiHidden/>
    <w:rsid w:val="00476D6C"/>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typeiafsnit"/>
    <w:link w:val="Overskrift9"/>
    <w:uiPriority w:val="9"/>
    <w:semiHidden/>
    <w:rsid w:val="00476D6C"/>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134245">
      <w:bodyDiv w:val="1"/>
      <w:marLeft w:val="0"/>
      <w:marRight w:val="0"/>
      <w:marTop w:val="0"/>
      <w:marBottom w:val="0"/>
      <w:divBdr>
        <w:top w:val="none" w:sz="0" w:space="0" w:color="auto"/>
        <w:left w:val="none" w:sz="0" w:space="0" w:color="auto"/>
        <w:bottom w:val="none" w:sz="0" w:space="0" w:color="auto"/>
        <w:right w:val="none" w:sz="0" w:space="0" w:color="auto"/>
      </w:divBdr>
    </w:div>
    <w:div w:id="1296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5F16E6425EA6B4A9406DDC598E84B0D" ma:contentTypeVersion="10" ma:contentTypeDescription="Opret et nyt dokument." ma:contentTypeScope="" ma:versionID="87df71699170a3b998ca448e30366eba">
  <xsd:schema xmlns:xsd="http://www.w3.org/2001/XMLSchema" xmlns:xs="http://www.w3.org/2001/XMLSchema" xmlns:p="http://schemas.microsoft.com/office/2006/metadata/properties" xmlns:ns3="8677a2da-f8f3-4463-8232-2e4856bcfcd8" targetNamespace="http://schemas.microsoft.com/office/2006/metadata/properties" ma:root="true" ma:fieldsID="307ec68bdcf869835dde7d22f22a0f42" ns3:_="">
    <xsd:import namespace="8677a2da-f8f3-4463-8232-2e4856bc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7a2da-f8f3-4463-8232-2e4856bcf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3103-5343-4BC6-807F-47B84082584F}">
  <ds:schemaRefs>
    <ds:schemaRef ds:uri="http://schemas.microsoft.com/sharepoint/v3/contenttype/forms"/>
  </ds:schemaRefs>
</ds:datastoreItem>
</file>

<file path=customXml/itemProps2.xml><?xml version="1.0" encoding="utf-8"?>
<ds:datastoreItem xmlns:ds="http://schemas.openxmlformats.org/officeDocument/2006/customXml" ds:itemID="{69FC3D00-C674-458B-818A-F60328812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C7616-31E3-4028-AAC3-C7085EA1CAE2}">
  <ds:schemaRefs>
    <ds:schemaRef ds:uri="http://schemas.openxmlformats.org/officeDocument/2006/bibliography"/>
  </ds:schemaRefs>
</ds:datastoreItem>
</file>

<file path=customXml/itemProps4.xml><?xml version="1.0" encoding="utf-8"?>
<ds:datastoreItem xmlns:ds="http://schemas.openxmlformats.org/officeDocument/2006/customXml" ds:itemID="{F0C35C16-06E7-4A78-A086-B637FC35F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7a2da-f8f3-4463-8232-2e4856bc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4535</Words>
  <Characters>29253</Characters>
  <Application>Microsoft Office Word</Application>
  <DocSecurity>0</DocSecurity>
  <Lines>243</Lines>
  <Paragraphs>67</Paragraphs>
  <ScaleCrop>false</ScaleCrop>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2020-08-18T19:59:00Z</dcterms:created>
  <dcterms:modified xsi:type="dcterms:W3CDTF">2020-08-18T19:59:00Z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0x010100F5F16E6425EA6B4A9406DDC598E84B0D</vt:lpwstr>
  </property>
</Properties>
</file>